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69"/>
        <w:gridCol w:w="2835"/>
        <w:gridCol w:w="2806"/>
      </w:tblGrid>
      <w:tr w:rsidR="00B31FEB" w:rsidRPr="00FA0502" w14:paraId="3489B84E" w14:textId="77777777" w:rsidTr="50A22084">
        <w:trPr>
          <w:trHeight w:val="498"/>
        </w:trPr>
        <w:tc>
          <w:tcPr>
            <w:tcW w:w="2088" w:type="dxa"/>
            <w:shd w:val="clear" w:color="auto" w:fill="E0E0E0"/>
          </w:tcPr>
          <w:p w14:paraId="082C0D9F" w14:textId="77777777" w:rsidR="00B31FEB" w:rsidRPr="00FA0502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</w:t>
            </w:r>
            <w:r w:rsidRPr="00FA0502">
              <w:rPr>
                <w:rFonts w:ascii="Arial" w:hAnsi="Arial" w:cs="Arial"/>
                <w:b/>
              </w:rPr>
              <w:t>itle:</w:t>
            </w:r>
          </w:p>
        </w:tc>
        <w:tc>
          <w:tcPr>
            <w:tcW w:w="2869" w:type="dxa"/>
            <w:shd w:val="clear" w:color="auto" w:fill="auto"/>
          </w:tcPr>
          <w:p w14:paraId="16589603" w14:textId="5D4BBB55" w:rsidR="00B31FEB" w:rsidRPr="00FA0502" w:rsidRDefault="003466F4" w:rsidP="00081E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</w:t>
            </w:r>
            <w:r w:rsidR="00B31FEB">
              <w:rPr>
                <w:rFonts w:ascii="Arial" w:hAnsi="Arial" w:cs="Arial"/>
              </w:rPr>
              <w:t>Research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0FAF229" w14:textId="77777777" w:rsidR="00B31FEB" w:rsidRPr="009650A4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806" w:type="dxa"/>
          </w:tcPr>
          <w:p w14:paraId="101976E2" w14:textId="77777777" w:rsidR="00B31FEB" w:rsidRDefault="00B31FEB" w:rsidP="00B430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and Strategy</w:t>
            </w:r>
          </w:p>
        </w:tc>
      </w:tr>
      <w:tr w:rsidR="00B31FEB" w:rsidRPr="00FA0502" w14:paraId="12C9C05C" w14:textId="77777777" w:rsidTr="50A22084">
        <w:tc>
          <w:tcPr>
            <w:tcW w:w="2088" w:type="dxa"/>
            <w:tcBorders>
              <w:bottom w:val="single" w:sz="4" w:space="0" w:color="auto"/>
            </w:tcBorders>
            <w:shd w:val="clear" w:color="auto" w:fill="E0E0E0"/>
          </w:tcPr>
          <w:p w14:paraId="179A123F" w14:textId="77777777" w:rsidR="00B31FEB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14:paraId="7C928ED6" w14:textId="6D8C9798" w:rsidR="00CF6DE4" w:rsidRPr="00FA0502" w:rsidRDefault="008505C8" w:rsidP="0055309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- V1.1(E)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D531E" w14:textId="77777777" w:rsidR="00B31FEB" w:rsidRPr="009650A4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r w:rsidRPr="009650A4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117A33D" w14:textId="77777777" w:rsidR="00B31FEB" w:rsidRDefault="00B31FEB" w:rsidP="00B430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Policy and Strategy</w:t>
            </w:r>
          </w:p>
        </w:tc>
      </w:tr>
      <w:tr w:rsidR="00B31FEB" w:rsidRPr="00FA0502" w14:paraId="47120632" w14:textId="77777777" w:rsidTr="50A22084">
        <w:tc>
          <w:tcPr>
            <w:tcW w:w="2088" w:type="dxa"/>
            <w:shd w:val="clear" w:color="auto" w:fill="E0E0E0"/>
          </w:tcPr>
          <w:p w14:paraId="5C4879D2" w14:textId="77777777" w:rsidR="00B31FEB" w:rsidRPr="00FA0502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/>
            <w:r w:rsidRPr="00FA0502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869" w:type="dxa"/>
            <w:shd w:val="clear" w:color="auto" w:fill="auto"/>
          </w:tcPr>
          <w:p w14:paraId="5A4B00C9" w14:textId="77777777" w:rsidR="00B31FEB" w:rsidRPr="00FA0502" w:rsidRDefault="00B31FEB" w:rsidP="0042508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Office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DF813B" w14:textId="77777777" w:rsidR="00B31FEB" w:rsidRPr="009650A4" w:rsidRDefault="00B31FEB" w:rsidP="00B5524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responsibility (optional):</w:t>
            </w:r>
          </w:p>
        </w:tc>
        <w:tc>
          <w:tcPr>
            <w:tcW w:w="2806" w:type="dxa"/>
          </w:tcPr>
          <w:p w14:paraId="672A6659" w14:textId="77DA4EFB" w:rsidR="00B31FEB" w:rsidRPr="00FA0502" w:rsidRDefault="00E1474E" w:rsidP="00995B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research budget of over £3m </w:t>
            </w:r>
          </w:p>
        </w:tc>
      </w:tr>
    </w:tbl>
    <w:bookmarkEnd w:id="0"/>
    <w:p w14:paraId="53EE0F4A" w14:textId="77777777" w:rsidR="00D5684C" w:rsidRDefault="00D5684C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91D0" wp14:editId="79470C4D">
                <wp:simplePos x="0" y="0"/>
                <wp:positionH relativeFrom="column">
                  <wp:posOffset>-38101</wp:posOffset>
                </wp:positionH>
                <wp:positionV relativeFrom="paragraph">
                  <wp:posOffset>116840</wp:posOffset>
                </wp:positionV>
                <wp:extent cx="6680835" cy="88582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D2DF2" w14:textId="77777777" w:rsidR="00CC3592" w:rsidRPr="00DA1814" w:rsidRDefault="00CC3592" w:rsidP="00CC35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18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CITB aims to lead the construction sector by example to ensure fairness, inclusion and respect for all. We seek to build a workforce that reflects Britain’s diverse population and people from under-represented groups are encouraged to apply for vacancies. </w:t>
                            </w:r>
                          </w:p>
                          <w:p w14:paraId="5DAB6C7B" w14:textId="26CBF5DF" w:rsidR="00D5684C" w:rsidRPr="008543B0" w:rsidRDefault="00CC35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181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Our main objective is to create a culture that helps all of our customers strive towards a workforce that is reflective of today’s society.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4699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9.2pt;width:526.0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" fillcolor="white [3201]" strokeweight=".5pt">
                <v:textbox>
                  <w:txbxContent>
                    <w:p w14:paraId="698D2DF2" w14:textId="77777777" w:rsidR="00CC3592" w:rsidRPr="00DA1814" w:rsidRDefault="00CC3592" w:rsidP="00CC35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A181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CITB aims to lead the construction sector by example to ensure fairness, inclusion and respect for all. We seek to build a workforce that reflects Britain’s diverse population and people from under-represented groups are encouraged to apply for vacancies. </w:t>
                      </w:r>
                    </w:p>
                    <w:p w14:paraId="5DAB6C7B" w14:textId="26CBF5DF" w:rsidR="00D5684C" w:rsidRPr="008543B0" w:rsidRDefault="00CC359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A181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Our main objective is to create a culture that helps </w:t>
                      </w:r>
                      <w:proofErr w:type="gramStart"/>
                      <w:r w:rsidRPr="00DA181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all of</w:t>
                      </w:r>
                      <w:proofErr w:type="gramEnd"/>
                      <w:r w:rsidRPr="00DA181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our customers strive towards a workforce that is reflective of today’s society. </w:t>
                      </w:r>
                    </w:p>
                  </w:txbxContent>
                </v:textbox>
              </v:shape>
            </w:pict>
          </mc:Fallback>
        </mc:AlternateContent>
      </w:r>
    </w:p>
    <w:p w14:paraId="6A05A809" w14:textId="77777777" w:rsidR="00D5684C" w:rsidRDefault="00D5684C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</w:p>
    <w:p w14:paraId="5A39BBE3" w14:textId="77777777" w:rsidR="00D5684C" w:rsidRDefault="00D5684C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</w:p>
    <w:p w14:paraId="41C8F396" w14:textId="77777777" w:rsidR="00CC3592" w:rsidRDefault="00CC3592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</w:p>
    <w:p w14:paraId="72A3D3EC" w14:textId="77777777" w:rsidR="00CC3592" w:rsidRDefault="00CC3592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</w:p>
    <w:p w14:paraId="0D0B940D" w14:textId="77777777" w:rsidR="00CC3592" w:rsidRDefault="00CC3592" w:rsidP="00F86F87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4"/>
      </w:tblGrid>
      <w:tr w:rsidR="00AF0EE8" w:rsidRPr="00FA0502" w14:paraId="4EFC0FE7" w14:textId="77777777" w:rsidTr="00D5684C">
        <w:tc>
          <w:tcPr>
            <w:tcW w:w="10594" w:type="dxa"/>
            <w:shd w:val="clear" w:color="auto" w:fill="E0E0E0"/>
          </w:tcPr>
          <w:p w14:paraId="41B3CC14" w14:textId="77777777" w:rsidR="00AF0EE8" w:rsidRPr="00FA0502" w:rsidRDefault="003A4BF7" w:rsidP="003A4BF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Role p</w:t>
            </w:r>
            <w:r w:rsidR="00AF0EE8" w:rsidRPr="00FA0502">
              <w:rPr>
                <w:rFonts w:ascii="Arial" w:hAnsi="Arial" w:cs="Arial"/>
                <w:b/>
              </w:rPr>
              <w:t>urpose</w:t>
            </w:r>
            <w:r w:rsidR="00655C2C" w:rsidRPr="00FA0502">
              <w:rPr>
                <w:rFonts w:ascii="Arial" w:hAnsi="Arial" w:cs="Arial"/>
                <w:b/>
              </w:rPr>
              <w:t>:</w:t>
            </w:r>
            <w:r w:rsidR="00BA491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0EE8" w:rsidRPr="00FA0502" w14:paraId="1480C381" w14:textId="77777777" w:rsidTr="00CC3592">
        <w:trPr>
          <w:trHeight w:val="1591"/>
        </w:trPr>
        <w:tc>
          <w:tcPr>
            <w:tcW w:w="10594" w:type="dxa"/>
            <w:shd w:val="clear" w:color="auto" w:fill="auto"/>
          </w:tcPr>
          <w:p w14:paraId="60061E4C" w14:textId="366CB7E0" w:rsidR="00D1358C" w:rsidRPr="00DA1814" w:rsidRDefault="002C501B" w:rsidP="00D13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member</w:t>
            </w:r>
            <w:r w:rsidR="00047A37" w:rsidRPr="00DA1814">
              <w:rPr>
                <w:rFonts w:ascii="Arial" w:hAnsi="Arial" w:cs="Arial"/>
                <w:sz w:val="22"/>
                <w:szCs w:val="22"/>
              </w:rPr>
              <w:t xml:space="preserve"> of the leadership team, </w:t>
            </w:r>
            <w:r w:rsidR="008A30BC" w:rsidRPr="00DA1814">
              <w:rPr>
                <w:rFonts w:ascii="Arial" w:hAnsi="Arial" w:cs="Arial"/>
                <w:sz w:val="22"/>
                <w:szCs w:val="22"/>
              </w:rPr>
              <w:t>this role lead</w:t>
            </w:r>
            <w:r w:rsidR="007A2357">
              <w:rPr>
                <w:rFonts w:ascii="Arial" w:hAnsi="Arial" w:cs="Arial"/>
                <w:sz w:val="22"/>
                <w:szCs w:val="22"/>
              </w:rPr>
              <w:t>s</w:t>
            </w:r>
            <w:r w:rsidR="008A30BC" w:rsidRPr="00DA1814">
              <w:rPr>
                <w:rFonts w:ascii="Arial" w:hAnsi="Arial" w:cs="Arial"/>
                <w:sz w:val="22"/>
                <w:szCs w:val="22"/>
              </w:rPr>
              <w:t xml:space="preserve"> the research team </w:t>
            </w:r>
            <w:r w:rsidR="00A114A2" w:rsidRPr="00DA1814">
              <w:rPr>
                <w:rFonts w:ascii="Arial" w:hAnsi="Arial" w:cs="Arial"/>
                <w:sz w:val="22"/>
                <w:szCs w:val="22"/>
              </w:rPr>
              <w:t>to develop and share an evidence</w:t>
            </w:r>
            <w:r w:rsidR="007A2357">
              <w:rPr>
                <w:rFonts w:ascii="Arial" w:hAnsi="Arial" w:cs="Arial"/>
                <w:sz w:val="22"/>
                <w:szCs w:val="22"/>
              </w:rPr>
              <w:t xml:space="preserve"> base</w:t>
            </w:r>
            <w:r w:rsidR="00A114A2" w:rsidRPr="00DA1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4D" w:rsidRPr="00DA1814">
              <w:rPr>
                <w:rFonts w:ascii="Arial" w:hAnsi="Arial" w:cs="Arial"/>
                <w:sz w:val="22"/>
                <w:szCs w:val="22"/>
              </w:rPr>
              <w:t>that</w:t>
            </w:r>
            <w:r w:rsidR="00A54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4D" w:rsidRPr="00DA1814">
              <w:rPr>
                <w:rFonts w:ascii="Arial" w:hAnsi="Arial" w:cs="Arial"/>
                <w:sz w:val="22"/>
                <w:szCs w:val="22"/>
              </w:rPr>
              <w:t>support</w:t>
            </w:r>
            <w:r w:rsidR="007A2357">
              <w:rPr>
                <w:rFonts w:ascii="Arial" w:hAnsi="Arial" w:cs="Arial"/>
                <w:sz w:val="22"/>
                <w:szCs w:val="22"/>
              </w:rPr>
              <w:t>s</w:t>
            </w:r>
            <w:r w:rsidR="005E2D4D" w:rsidRPr="00DA1814">
              <w:rPr>
                <w:rFonts w:ascii="Arial" w:hAnsi="Arial" w:cs="Arial"/>
                <w:sz w:val="22"/>
                <w:szCs w:val="22"/>
              </w:rPr>
              <w:t xml:space="preserve"> CITB to develop its strateg</w:t>
            </w:r>
            <w:r w:rsidR="00DB3F06" w:rsidRPr="00DA1814">
              <w:rPr>
                <w:rFonts w:ascii="Arial" w:hAnsi="Arial" w:cs="Arial"/>
                <w:sz w:val="22"/>
                <w:szCs w:val="22"/>
              </w:rPr>
              <w:t xml:space="preserve">ies </w:t>
            </w:r>
            <w:r w:rsidR="00A316F8" w:rsidRPr="00DA1814">
              <w:rPr>
                <w:rFonts w:ascii="Arial" w:hAnsi="Arial" w:cs="Arial"/>
                <w:sz w:val="22"/>
                <w:szCs w:val="22"/>
              </w:rPr>
              <w:t xml:space="preserve">and specific </w:t>
            </w:r>
            <w:r w:rsidR="00690EC4" w:rsidRPr="00DA1814">
              <w:rPr>
                <w:rFonts w:ascii="Arial" w:hAnsi="Arial" w:cs="Arial"/>
                <w:sz w:val="22"/>
                <w:szCs w:val="22"/>
              </w:rPr>
              <w:t xml:space="preserve">interventions </w:t>
            </w:r>
            <w:r w:rsidR="00DB3F06" w:rsidRPr="00DA1814">
              <w:rPr>
                <w:rFonts w:ascii="Arial" w:hAnsi="Arial" w:cs="Arial"/>
                <w:sz w:val="22"/>
                <w:szCs w:val="22"/>
              </w:rPr>
              <w:t>on careers, standards and qualifications and training and development</w:t>
            </w:r>
            <w:r w:rsidR="00690EC4" w:rsidRPr="00DA1814">
              <w:rPr>
                <w:rFonts w:ascii="Arial" w:hAnsi="Arial" w:cs="Arial"/>
                <w:sz w:val="22"/>
                <w:szCs w:val="22"/>
              </w:rPr>
              <w:t xml:space="preserve"> and to understand its impact. It also </w:t>
            </w:r>
            <w:r w:rsidR="001E725C" w:rsidRPr="00DA1814">
              <w:rPr>
                <w:rFonts w:ascii="Arial" w:hAnsi="Arial" w:cs="Arial"/>
                <w:sz w:val="22"/>
                <w:szCs w:val="22"/>
              </w:rPr>
              <w:t>support</w:t>
            </w:r>
            <w:r w:rsidR="007A2357">
              <w:rPr>
                <w:rFonts w:ascii="Arial" w:hAnsi="Arial" w:cs="Arial"/>
                <w:sz w:val="22"/>
                <w:szCs w:val="22"/>
              </w:rPr>
              <w:t>s</w:t>
            </w:r>
            <w:r w:rsidR="001E725C" w:rsidRPr="00DA1814">
              <w:rPr>
                <w:rFonts w:ascii="Arial" w:hAnsi="Arial" w:cs="Arial"/>
                <w:sz w:val="22"/>
                <w:szCs w:val="22"/>
              </w:rPr>
              <w:t xml:space="preserve"> CITB’s programmes of thought leadership and engagement with government </w:t>
            </w:r>
            <w:r w:rsidR="00377FFE" w:rsidRPr="00DA1814">
              <w:rPr>
                <w:rFonts w:ascii="Arial" w:hAnsi="Arial" w:cs="Arial"/>
                <w:sz w:val="22"/>
                <w:szCs w:val="22"/>
              </w:rPr>
              <w:t xml:space="preserve">and other key bodies. It </w:t>
            </w:r>
            <w:r w:rsidR="007A2357">
              <w:rPr>
                <w:rFonts w:ascii="Arial" w:hAnsi="Arial" w:cs="Arial"/>
                <w:sz w:val="22"/>
                <w:szCs w:val="22"/>
              </w:rPr>
              <w:t xml:space="preserve">achieves this </w:t>
            </w:r>
            <w:r w:rsidR="00377FFE" w:rsidRPr="00DA1814">
              <w:rPr>
                <w:rFonts w:ascii="Arial" w:hAnsi="Arial" w:cs="Arial"/>
                <w:sz w:val="22"/>
                <w:szCs w:val="22"/>
              </w:rPr>
              <w:t xml:space="preserve">by producing and </w:t>
            </w:r>
            <w:r w:rsidR="0088498D" w:rsidRPr="00DA1814">
              <w:rPr>
                <w:rFonts w:ascii="Arial" w:hAnsi="Arial" w:cs="Arial"/>
                <w:sz w:val="22"/>
                <w:szCs w:val="22"/>
              </w:rPr>
              <w:t xml:space="preserve">continuously updating CITB’s evidence of industry trends and needs. </w:t>
            </w:r>
            <w:r w:rsidR="000012DA" w:rsidRPr="00DA1814">
              <w:rPr>
                <w:rFonts w:ascii="Arial" w:hAnsi="Arial" w:cs="Arial"/>
                <w:sz w:val="22"/>
                <w:szCs w:val="22"/>
              </w:rPr>
              <w:t>It respond</w:t>
            </w:r>
            <w:r w:rsidR="00267751">
              <w:rPr>
                <w:rFonts w:ascii="Arial" w:hAnsi="Arial" w:cs="Arial"/>
                <w:sz w:val="22"/>
                <w:szCs w:val="22"/>
              </w:rPr>
              <w:t>s</w:t>
            </w:r>
            <w:r w:rsidR="00F11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DA" w:rsidRPr="00DA1814">
              <w:rPr>
                <w:rFonts w:ascii="Arial" w:hAnsi="Arial" w:cs="Arial"/>
                <w:sz w:val="22"/>
                <w:szCs w:val="22"/>
              </w:rPr>
              <w:t>both to the needs of internal and external research users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F6D3B" w:rsidRPr="00DA1814">
              <w:rPr>
                <w:rFonts w:ascii="Arial" w:hAnsi="Arial" w:cs="Arial"/>
                <w:sz w:val="22"/>
                <w:szCs w:val="22"/>
              </w:rPr>
              <w:t xml:space="preserve"> and also </w:t>
            </w:r>
            <w:r w:rsidR="005E699D" w:rsidRPr="00DA1814">
              <w:rPr>
                <w:rFonts w:ascii="Arial" w:hAnsi="Arial" w:cs="Arial"/>
                <w:sz w:val="22"/>
                <w:szCs w:val="22"/>
              </w:rPr>
              <w:t>use</w:t>
            </w:r>
            <w:r w:rsidR="007A2357">
              <w:rPr>
                <w:rFonts w:ascii="Arial" w:hAnsi="Arial" w:cs="Arial"/>
                <w:sz w:val="22"/>
                <w:szCs w:val="22"/>
              </w:rPr>
              <w:t>s</w:t>
            </w:r>
            <w:r w:rsidR="005E699D" w:rsidRPr="00DA1814">
              <w:rPr>
                <w:rFonts w:ascii="Arial" w:hAnsi="Arial" w:cs="Arial"/>
                <w:sz w:val="22"/>
                <w:szCs w:val="22"/>
              </w:rPr>
              <w:t xml:space="preserve"> evidence to </w:t>
            </w:r>
            <w:r w:rsidR="007A2357">
              <w:rPr>
                <w:rFonts w:ascii="Arial" w:hAnsi="Arial" w:cs="Arial"/>
                <w:sz w:val="22"/>
                <w:szCs w:val="22"/>
              </w:rPr>
              <w:t xml:space="preserve">proactively </w:t>
            </w:r>
            <w:r w:rsidR="005E699D" w:rsidRPr="00DA1814">
              <w:rPr>
                <w:rFonts w:ascii="Arial" w:hAnsi="Arial" w:cs="Arial"/>
                <w:sz w:val="22"/>
                <w:szCs w:val="22"/>
              </w:rPr>
              <w:t>recommend areas of action</w:t>
            </w:r>
            <w:r w:rsidR="007A2357">
              <w:rPr>
                <w:rFonts w:ascii="Arial" w:hAnsi="Arial" w:cs="Arial"/>
                <w:sz w:val="22"/>
                <w:szCs w:val="22"/>
              </w:rPr>
              <w:t xml:space="preserve"> and insights to support CITB’s strategy and delivery</w:t>
            </w:r>
            <w:r w:rsidR="005E699D" w:rsidRPr="00DA18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F0EE8" w:rsidRPr="00FA0502" w14:paraId="19966734" w14:textId="77777777" w:rsidTr="00D5684C">
        <w:tc>
          <w:tcPr>
            <w:tcW w:w="10594" w:type="dxa"/>
            <w:shd w:val="clear" w:color="auto" w:fill="E0E0E0"/>
          </w:tcPr>
          <w:p w14:paraId="59040A56" w14:textId="013442CB" w:rsidR="000542F3" w:rsidRPr="006371F4" w:rsidRDefault="007A68C2" w:rsidP="002C501B">
            <w:pPr>
              <w:spacing w:before="60" w:after="60"/>
              <w:rPr>
                <w:rFonts w:ascii="Arial" w:hAnsi="Arial" w:cs="Arial"/>
                <w:b/>
              </w:rPr>
            </w:pPr>
            <w:r w:rsidRPr="006371F4">
              <w:rPr>
                <w:rFonts w:ascii="Arial" w:hAnsi="Arial" w:cs="Arial"/>
                <w:b/>
              </w:rPr>
              <w:t>Key respon</w:t>
            </w:r>
            <w:r w:rsidR="005A25FF" w:rsidRPr="006371F4">
              <w:rPr>
                <w:rFonts w:ascii="Arial" w:hAnsi="Arial" w:cs="Arial"/>
                <w:b/>
              </w:rPr>
              <w:t>s</w:t>
            </w:r>
            <w:r w:rsidR="002C501B">
              <w:rPr>
                <w:rFonts w:ascii="Arial" w:hAnsi="Arial" w:cs="Arial"/>
                <w:b/>
              </w:rPr>
              <w:t>ibilities and accountabilities</w:t>
            </w:r>
            <w:r w:rsidR="005A25FF" w:rsidRPr="006371F4">
              <w:rPr>
                <w:rFonts w:ascii="Arial" w:hAnsi="Arial" w:cs="Arial"/>
                <w:b/>
              </w:rPr>
              <w:t>:</w:t>
            </w:r>
          </w:p>
        </w:tc>
      </w:tr>
      <w:tr w:rsidR="00655C2C" w:rsidRPr="00FA0502" w14:paraId="41FADCF5" w14:textId="77777777" w:rsidTr="00D5684C">
        <w:trPr>
          <w:trHeight w:val="720"/>
        </w:trPr>
        <w:tc>
          <w:tcPr>
            <w:tcW w:w="10594" w:type="dxa"/>
            <w:shd w:val="clear" w:color="auto" w:fill="auto"/>
          </w:tcPr>
          <w:p w14:paraId="0A3ACFAF" w14:textId="6E02B8A8" w:rsidR="0038468B" w:rsidRPr="0038468B" w:rsidRDefault="0038468B" w:rsidP="0038468B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and manage the team of senior research analysts. Raise and maintain external profile of research team and understanding of what it can do.</w:t>
            </w:r>
          </w:p>
          <w:p w14:paraId="2AF0BD13" w14:textId="07EC2B03" w:rsidR="008940DB" w:rsidRDefault="00067B6F" w:rsidP="005E6614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and </w:t>
            </w:r>
            <w:r w:rsidR="00C70CC8">
              <w:rPr>
                <w:rFonts w:ascii="Arial" w:hAnsi="Arial" w:cs="Arial"/>
                <w:sz w:val="22"/>
                <w:szCs w:val="22"/>
              </w:rPr>
              <w:t xml:space="preserve">keep updated a comprehensive evidence </w:t>
            </w:r>
            <w:r w:rsidR="00AC1430">
              <w:rPr>
                <w:rFonts w:ascii="Arial" w:hAnsi="Arial" w:cs="Arial"/>
                <w:sz w:val="22"/>
                <w:szCs w:val="22"/>
              </w:rPr>
              <w:t xml:space="preserve">base </w:t>
            </w:r>
            <w:r w:rsidR="00C70CC8">
              <w:rPr>
                <w:rFonts w:ascii="Arial" w:hAnsi="Arial" w:cs="Arial"/>
                <w:sz w:val="22"/>
                <w:szCs w:val="22"/>
              </w:rPr>
              <w:t>of industry trends and needs that CITB’</w:t>
            </w:r>
            <w:r w:rsidR="00A41F29">
              <w:rPr>
                <w:rFonts w:ascii="Arial" w:hAnsi="Arial" w:cs="Arial"/>
                <w:sz w:val="22"/>
                <w:szCs w:val="22"/>
              </w:rPr>
              <w:t>s full range of activities and its engagement with government</w:t>
            </w:r>
            <w:r w:rsidR="00810D1F">
              <w:rPr>
                <w:rFonts w:ascii="Arial" w:hAnsi="Arial" w:cs="Arial"/>
                <w:sz w:val="22"/>
                <w:szCs w:val="22"/>
              </w:rPr>
              <w:t xml:space="preserve">s, drawing on CITB research, </w:t>
            </w:r>
            <w:r w:rsidR="0032435F">
              <w:rPr>
                <w:rFonts w:ascii="Arial" w:hAnsi="Arial" w:cs="Arial"/>
                <w:sz w:val="22"/>
                <w:szCs w:val="22"/>
              </w:rPr>
              <w:t>external research and customer intelligence</w:t>
            </w:r>
            <w:r w:rsidR="00E26757">
              <w:rPr>
                <w:rFonts w:ascii="Arial" w:hAnsi="Arial" w:cs="Arial"/>
                <w:sz w:val="22"/>
                <w:szCs w:val="22"/>
              </w:rPr>
              <w:t>.</w:t>
            </w:r>
            <w:r w:rsidR="003243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076B">
              <w:rPr>
                <w:rFonts w:ascii="Arial" w:hAnsi="Arial" w:cs="Arial"/>
                <w:sz w:val="22"/>
                <w:szCs w:val="22"/>
              </w:rPr>
              <w:t xml:space="preserve">Put in </w:t>
            </w:r>
            <w:r w:rsidR="00AD313D">
              <w:rPr>
                <w:rFonts w:ascii="Arial" w:hAnsi="Arial" w:cs="Arial"/>
                <w:sz w:val="22"/>
                <w:szCs w:val="22"/>
              </w:rPr>
              <w:t>place processes to capture this intelligence</w:t>
            </w:r>
            <w:r w:rsidR="008940DB">
              <w:rPr>
                <w:rFonts w:ascii="Arial" w:hAnsi="Arial" w:cs="Arial"/>
                <w:sz w:val="22"/>
                <w:szCs w:val="22"/>
              </w:rPr>
              <w:t xml:space="preserve"> on a dynamic basis and for sharing it with relevant internal and external customers</w:t>
            </w:r>
            <w:r w:rsidR="00AD31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84B674" w14:textId="32F0291B" w:rsidR="00810D1F" w:rsidRPr="002C501B" w:rsidRDefault="008940DB" w:rsidP="002C501B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closely with CITB’</w:t>
            </w:r>
            <w:r w:rsidR="002C501B">
              <w:rPr>
                <w:rFonts w:ascii="Arial" w:hAnsi="Arial" w:cs="Arial"/>
                <w:sz w:val="22"/>
                <w:szCs w:val="22"/>
              </w:rPr>
              <w:t>s other insight functions (e.g.</w:t>
            </w:r>
            <w:r w:rsidRPr="002C501B">
              <w:rPr>
                <w:rFonts w:ascii="Arial" w:hAnsi="Arial" w:cs="Arial"/>
                <w:sz w:val="22"/>
                <w:szCs w:val="22"/>
              </w:rPr>
              <w:t xml:space="preserve"> Customer Insight, Technology &amp; Change, Product Insight) to ensure that there is one core source of such data within CITB and clarity on how it is used to create evidence bases for decision making</w:t>
            </w:r>
            <w:r w:rsidR="00F11E9B" w:rsidRPr="002C501B">
              <w:rPr>
                <w:rFonts w:ascii="Arial" w:hAnsi="Arial" w:cs="Arial"/>
                <w:sz w:val="22"/>
                <w:szCs w:val="22"/>
              </w:rPr>
              <w:t>.</w:t>
            </w:r>
            <w:r w:rsidR="00AD313D" w:rsidRPr="002C50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435F" w:rsidRPr="002C501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10D1F" w:rsidRPr="002C501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16B4D76" w14:textId="0116CFFE" w:rsidR="00550B15" w:rsidRDefault="00810D1F" w:rsidP="005E6614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32435F">
              <w:rPr>
                <w:rFonts w:ascii="Arial" w:hAnsi="Arial" w:cs="Arial"/>
                <w:sz w:val="22"/>
                <w:szCs w:val="22"/>
              </w:rPr>
              <w:t xml:space="preserve">velop a flexible research programme that </w:t>
            </w:r>
            <w:r w:rsidR="007921D2">
              <w:rPr>
                <w:rFonts w:ascii="Arial" w:hAnsi="Arial" w:cs="Arial"/>
                <w:sz w:val="22"/>
                <w:szCs w:val="22"/>
              </w:rPr>
              <w:t>contributes to the evidence base</w:t>
            </w:r>
            <w:r w:rsidR="0028221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A2357">
              <w:rPr>
                <w:rFonts w:ascii="Arial" w:hAnsi="Arial" w:cs="Arial"/>
                <w:sz w:val="22"/>
                <w:szCs w:val="22"/>
              </w:rPr>
              <w:t xml:space="preserve">ensures </w:t>
            </w:r>
            <w:r w:rsidR="00282217">
              <w:rPr>
                <w:rFonts w:ascii="Arial" w:hAnsi="Arial" w:cs="Arial"/>
                <w:sz w:val="22"/>
                <w:szCs w:val="22"/>
              </w:rPr>
              <w:t xml:space="preserve">that the research team employs a range of research </w:t>
            </w:r>
            <w:r w:rsidR="000E1011">
              <w:rPr>
                <w:rFonts w:ascii="Arial" w:hAnsi="Arial" w:cs="Arial"/>
                <w:sz w:val="22"/>
                <w:szCs w:val="22"/>
              </w:rPr>
              <w:t>approaches, including those that deliver rapid responses to evidence ne</w:t>
            </w:r>
            <w:r w:rsidR="00E26757">
              <w:rPr>
                <w:rFonts w:ascii="Arial" w:hAnsi="Arial" w:cs="Arial"/>
                <w:sz w:val="22"/>
                <w:szCs w:val="22"/>
              </w:rPr>
              <w:t>e</w:t>
            </w:r>
            <w:r w:rsidR="000E1011">
              <w:rPr>
                <w:rFonts w:ascii="Arial" w:hAnsi="Arial" w:cs="Arial"/>
                <w:sz w:val="22"/>
                <w:szCs w:val="22"/>
              </w:rPr>
              <w:t>ds</w:t>
            </w:r>
            <w:r w:rsidR="00B30A78">
              <w:rPr>
                <w:rFonts w:ascii="Arial" w:hAnsi="Arial" w:cs="Arial"/>
                <w:sz w:val="22"/>
                <w:szCs w:val="22"/>
              </w:rPr>
              <w:t xml:space="preserve">. This includes </w:t>
            </w:r>
            <w:r w:rsidR="008543B0">
              <w:rPr>
                <w:rFonts w:ascii="Arial" w:hAnsi="Arial" w:cs="Arial"/>
                <w:sz w:val="22"/>
                <w:szCs w:val="22"/>
              </w:rPr>
              <w:t xml:space="preserve">CITB’s programme of forecasting and local and sectoral analysis.  </w:t>
            </w:r>
            <w:r w:rsidR="000E101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822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F6CF8E" w14:textId="13B1DC79" w:rsidR="00B31FEB" w:rsidRPr="006371F4" w:rsidRDefault="00DB7D2D" w:rsidP="005E6614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across there is a </w:t>
            </w:r>
            <w:r w:rsidR="00FD16BD">
              <w:rPr>
                <w:rFonts w:ascii="Arial" w:hAnsi="Arial" w:cs="Arial"/>
                <w:sz w:val="22"/>
                <w:szCs w:val="22"/>
              </w:rPr>
              <w:t>strong understanding of the key trends in the industry</w:t>
            </w:r>
            <w:r w:rsidR="007D13E0">
              <w:rPr>
                <w:rFonts w:ascii="Arial" w:hAnsi="Arial" w:cs="Arial"/>
                <w:sz w:val="22"/>
                <w:szCs w:val="22"/>
              </w:rPr>
              <w:t xml:space="preserve">, of the external environment </w:t>
            </w:r>
            <w:r w:rsidR="004F5E52">
              <w:rPr>
                <w:rFonts w:ascii="Arial" w:hAnsi="Arial" w:cs="Arial"/>
                <w:sz w:val="22"/>
                <w:szCs w:val="22"/>
              </w:rPr>
              <w:t xml:space="preserve">and of CITB’s strategies, key interventions and government and industry engagement. </w:t>
            </w:r>
            <w:r w:rsidR="003D64E8">
              <w:rPr>
                <w:rFonts w:ascii="Arial" w:hAnsi="Arial" w:cs="Arial"/>
                <w:sz w:val="22"/>
                <w:szCs w:val="22"/>
              </w:rPr>
              <w:t>Le</w:t>
            </w:r>
            <w:r w:rsidR="007A2357">
              <w:rPr>
                <w:rFonts w:ascii="Arial" w:hAnsi="Arial" w:cs="Arial"/>
                <w:sz w:val="22"/>
                <w:szCs w:val="22"/>
              </w:rPr>
              <w:t>a</w:t>
            </w:r>
            <w:r w:rsidR="003D64E8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911794">
              <w:rPr>
                <w:rFonts w:ascii="Arial" w:hAnsi="Arial" w:cs="Arial"/>
                <w:sz w:val="22"/>
                <w:szCs w:val="22"/>
              </w:rPr>
              <w:t xml:space="preserve">the horizon scanning process to ensure that CITB anticipates key emerging trends and develops its response.  </w:t>
            </w:r>
            <w:r w:rsidR="004F5E5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1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6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75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921D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2435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10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C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E57AF65" w14:textId="592AA137" w:rsidR="00B31FEB" w:rsidRPr="00971BF6" w:rsidRDefault="00B31FEB" w:rsidP="00971BF6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eastAsiaTheme="minorHAnsi" w:hAnsi="Arial" w:cs="Arial"/>
                <w:sz w:val="22"/>
                <w:szCs w:val="22"/>
              </w:rPr>
              <w:t xml:space="preserve">Develop and engage regularly with internal and external networks of subject matter experts.  </w:t>
            </w:r>
          </w:p>
          <w:p w14:paraId="6327A80E" w14:textId="6849FD37" w:rsidR="00B31FEB" w:rsidRPr="006371F4" w:rsidRDefault="0078700F" w:rsidP="005E6614">
            <w:pPr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</w:t>
            </w:r>
            <w:r w:rsidR="00971BF6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t CITB’’s interventions </w:t>
            </w:r>
            <w:r w:rsidR="0039033F">
              <w:rPr>
                <w:rFonts w:ascii="Arial" w:hAnsi="Arial" w:cs="Arial"/>
                <w:sz w:val="22"/>
                <w:szCs w:val="22"/>
              </w:rPr>
              <w:t xml:space="preserve">with evidence </w:t>
            </w:r>
            <w:r>
              <w:rPr>
                <w:rFonts w:ascii="Arial" w:hAnsi="Arial" w:cs="Arial"/>
                <w:sz w:val="22"/>
                <w:szCs w:val="22"/>
              </w:rPr>
              <w:t xml:space="preserve">at all stages from the </w:t>
            </w:r>
            <w:r w:rsidR="007C1FC7">
              <w:rPr>
                <w:rFonts w:ascii="Arial" w:hAnsi="Arial" w:cs="Arial"/>
                <w:sz w:val="22"/>
                <w:szCs w:val="22"/>
              </w:rPr>
              <w:t>identification of outcomes</w:t>
            </w:r>
            <w:r w:rsidR="0039033F">
              <w:rPr>
                <w:rFonts w:ascii="Arial" w:hAnsi="Arial" w:cs="Arial"/>
                <w:sz w:val="22"/>
                <w:szCs w:val="22"/>
              </w:rPr>
              <w:t xml:space="preserve">, the shaping of interventions and the review of options </w:t>
            </w:r>
            <w:r w:rsidR="00D1358C">
              <w:rPr>
                <w:rFonts w:ascii="Arial" w:hAnsi="Arial" w:cs="Arial"/>
                <w:sz w:val="22"/>
                <w:szCs w:val="22"/>
              </w:rPr>
              <w:t xml:space="preserve">for when programmes come to an end.    </w:t>
            </w:r>
            <w:r w:rsidR="007C1F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94D5A5" w14:textId="6AFACA80" w:rsidR="00DA1814" w:rsidRPr="00DA1814" w:rsidRDefault="007A2357" w:rsidP="00DA1814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Proactively build cross functional links to ensure that research and evidence is used throughout CITB, particularly building links with the Strategy Team, with Communications &amp; Engagement Teams and with Product and delivery teams both to build and to disseminate the evidence base</w:t>
            </w:r>
          </w:p>
        </w:tc>
      </w:tr>
      <w:tr w:rsidR="00610A72" w:rsidRPr="00FA0502" w14:paraId="4006CA66" w14:textId="77777777" w:rsidTr="00D5684C">
        <w:tc>
          <w:tcPr>
            <w:tcW w:w="10594" w:type="dxa"/>
            <w:shd w:val="clear" w:color="auto" w:fill="E0E0E0"/>
          </w:tcPr>
          <w:p w14:paraId="25317C27" w14:textId="5CF918A9" w:rsidR="00610A72" w:rsidRPr="006371F4" w:rsidRDefault="002C501B" w:rsidP="002C501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People Leadership</w:t>
            </w:r>
            <w:r w:rsidR="00D5684C" w:rsidRPr="006371F4">
              <w:rPr>
                <w:rFonts w:ascii="Arial" w:hAnsi="Arial" w:cs="Arial"/>
                <w:b/>
              </w:rPr>
              <w:t>/Team Leadership</w:t>
            </w:r>
            <w:r>
              <w:rPr>
                <w:rFonts w:ascii="Arial" w:hAnsi="Arial" w:cs="Arial"/>
                <w:b/>
              </w:rPr>
              <w:t>:</w:t>
            </w:r>
            <w:r w:rsidR="00D5684C" w:rsidRPr="006371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2BF3" w:rsidRPr="00FA0502" w14:paraId="6A434ACD" w14:textId="77777777" w:rsidTr="008543B0">
        <w:trPr>
          <w:trHeight w:val="397"/>
        </w:trPr>
        <w:tc>
          <w:tcPr>
            <w:tcW w:w="10594" w:type="dxa"/>
            <w:shd w:val="clear" w:color="auto" w:fill="auto"/>
          </w:tcPr>
          <w:p w14:paraId="3DEEC669" w14:textId="7AD292CB" w:rsidR="007A68C2" w:rsidRPr="008543B0" w:rsidRDefault="004573B4" w:rsidP="00730B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D951FF">
              <w:rPr>
                <w:rFonts w:ascii="Arial" w:hAnsi="Arial" w:cs="Arial"/>
                <w:sz w:val="22"/>
                <w:szCs w:val="22"/>
              </w:rPr>
              <w:t xml:space="preserve"> direct reports </w:t>
            </w:r>
            <w:r>
              <w:rPr>
                <w:rFonts w:ascii="Arial" w:hAnsi="Arial" w:cs="Arial"/>
                <w:sz w:val="22"/>
                <w:szCs w:val="22"/>
              </w:rPr>
              <w:t xml:space="preserve">– strategic research lead and </w:t>
            </w:r>
            <w:r w:rsidR="00622650">
              <w:rPr>
                <w:rFonts w:ascii="Arial" w:hAnsi="Arial" w:cs="Arial"/>
                <w:sz w:val="22"/>
                <w:szCs w:val="22"/>
              </w:rPr>
              <w:t>two senior res</w:t>
            </w:r>
            <w:r w:rsidR="004E5FB6">
              <w:rPr>
                <w:rFonts w:ascii="Arial" w:hAnsi="Arial" w:cs="Arial"/>
                <w:sz w:val="22"/>
                <w:szCs w:val="22"/>
              </w:rPr>
              <w:t>e</w:t>
            </w:r>
            <w:r w:rsidR="00622650">
              <w:rPr>
                <w:rFonts w:ascii="Arial" w:hAnsi="Arial" w:cs="Arial"/>
                <w:sz w:val="22"/>
                <w:szCs w:val="22"/>
              </w:rPr>
              <w:t xml:space="preserve">arch </w:t>
            </w:r>
            <w:r w:rsidR="004E5FB6">
              <w:rPr>
                <w:rFonts w:ascii="Arial" w:hAnsi="Arial" w:cs="Arial"/>
                <w:sz w:val="22"/>
                <w:szCs w:val="22"/>
              </w:rPr>
              <w:t xml:space="preserve">analysts </w:t>
            </w:r>
            <w:r w:rsidR="00D95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684C" w:rsidRPr="00FA0502" w14:paraId="218E31BE" w14:textId="77777777" w:rsidTr="00D5684C">
        <w:tc>
          <w:tcPr>
            <w:tcW w:w="10594" w:type="dxa"/>
            <w:tcBorders>
              <w:bottom w:val="single" w:sz="4" w:space="0" w:color="auto"/>
            </w:tcBorders>
            <w:shd w:val="clear" w:color="auto" w:fill="E0E0E0"/>
          </w:tcPr>
          <w:p w14:paraId="44F2E498" w14:textId="77777777" w:rsidR="00D5684C" w:rsidRPr="006371F4" w:rsidRDefault="00D5684C" w:rsidP="006A2953">
            <w:pPr>
              <w:spacing w:before="60" w:after="60"/>
              <w:rPr>
                <w:rFonts w:ascii="Arial" w:hAnsi="Arial" w:cs="Arial"/>
                <w:b/>
              </w:rPr>
            </w:pPr>
            <w:r w:rsidRPr="006371F4">
              <w:rPr>
                <w:rFonts w:ascii="Arial" w:hAnsi="Arial" w:cs="Arial"/>
                <w:b/>
              </w:rPr>
              <w:t>Key contacts and relationships:</w:t>
            </w:r>
          </w:p>
        </w:tc>
      </w:tr>
      <w:tr w:rsidR="00D5684C" w:rsidRPr="00FA0502" w14:paraId="4AEB370F" w14:textId="77777777" w:rsidTr="008543B0">
        <w:trPr>
          <w:trHeight w:val="3685"/>
        </w:trPr>
        <w:tc>
          <w:tcPr>
            <w:tcW w:w="10594" w:type="dxa"/>
            <w:shd w:val="clear" w:color="auto" w:fill="auto"/>
          </w:tcPr>
          <w:p w14:paraId="58C93317" w14:textId="77777777" w:rsidR="00D5684C" w:rsidRPr="006371F4" w:rsidRDefault="00D5684C" w:rsidP="006A29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371F4">
              <w:rPr>
                <w:rFonts w:ascii="Arial" w:hAnsi="Arial" w:cs="Arial"/>
                <w:b/>
                <w:sz w:val="22"/>
                <w:szCs w:val="22"/>
              </w:rPr>
              <w:t>Internal:</w:t>
            </w:r>
          </w:p>
          <w:p w14:paraId="3F536169" w14:textId="47BA673A" w:rsidR="00B10DAC" w:rsidRPr="00B10DAC" w:rsidRDefault="00B10DAC" w:rsidP="00B31FE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10DAC">
              <w:rPr>
                <w:rFonts w:ascii="Arial" w:hAnsi="Arial" w:cs="Arial"/>
                <w:bCs/>
                <w:sz w:val="22"/>
                <w:szCs w:val="22"/>
              </w:rPr>
              <w:t xml:space="preserve">Reports to Strategy and Policy Director </w:t>
            </w:r>
          </w:p>
          <w:p w14:paraId="6EAEC253" w14:textId="62AE328B" w:rsidR="007A2357" w:rsidRDefault="002E28CA" w:rsidP="007A2357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Head </w:t>
            </w:r>
            <w:r w:rsidR="00EC6CFC">
              <w:rPr>
                <w:rFonts w:ascii="Arial" w:hAnsi="Arial" w:cs="Arial"/>
                <w:bCs/>
                <w:sz w:val="22"/>
                <w:szCs w:val="22"/>
              </w:rPr>
              <w:t xml:space="preserve">of Policy and External Affairs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 xml:space="preserve"> to gather and to disseminate evidence</w:t>
            </w:r>
          </w:p>
          <w:p w14:paraId="3A5E13AE" w14:textId="0B14E6AC" w:rsidR="00EC6CFC" w:rsidRPr="002D3FBA" w:rsidRDefault="00EC6CFC" w:rsidP="00B31FE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D3FBA">
              <w:rPr>
                <w:rFonts w:ascii="Arial" w:hAnsi="Arial" w:cs="Arial"/>
                <w:bCs/>
                <w:sz w:val="22"/>
                <w:szCs w:val="22"/>
              </w:rPr>
              <w:t>Head of Strategy and heads of st</w:t>
            </w:r>
            <w:r w:rsidR="00984E2B" w:rsidRPr="002D3FBA">
              <w:rPr>
                <w:rFonts w:ascii="Arial" w:hAnsi="Arial" w:cs="Arial"/>
                <w:bCs/>
                <w:sz w:val="22"/>
                <w:szCs w:val="22"/>
              </w:rPr>
              <w:t>rategy for careers, standards and qualificati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ons, training and development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 xml:space="preserve"> to support them with the development of insight and evidence on which to develop and continuously assess and refine the corporate strategies</w:t>
            </w:r>
          </w:p>
          <w:p w14:paraId="13E0DA0E" w14:textId="73D45DF3" w:rsidR="00EC6CFC" w:rsidRPr="002C501B" w:rsidRDefault="002D3FBA" w:rsidP="002C501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D3FBA">
              <w:rPr>
                <w:rFonts w:ascii="Arial" w:hAnsi="Arial" w:cs="Arial"/>
                <w:bCs/>
                <w:sz w:val="22"/>
                <w:szCs w:val="22"/>
              </w:rPr>
              <w:t xml:space="preserve">Head of Levy and Grant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>to support the development of the evaluation evidence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2357" w:rsidRPr="002C501B">
              <w:rPr>
                <w:rFonts w:ascii="Arial" w:hAnsi="Arial" w:cs="Arial"/>
                <w:bCs/>
                <w:sz w:val="22"/>
                <w:szCs w:val="22"/>
              </w:rPr>
              <w:t>for funded interventions</w:t>
            </w:r>
          </w:p>
          <w:p w14:paraId="049468A4" w14:textId="2CF98C2D" w:rsidR="002D3FBA" w:rsidRDefault="002D3FBA" w:rsidP="00B31FE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D3FBA">
              <w:rPr>
                <w:rFonts w:ascii="Arial" w:hAnsi="Arial" w:cs="Arial"/>
                <w:bCs/>
                <w:sz w:val="22"/>
                <w:szCs w:val="22"/>
              </w:rPr>
              <w:t>Strateg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ic P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>lanning</w:t>
            </w:r>
            <w:r w:rsidRPr="002D3FBA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2D3FBA">
              <w:rPr>
                <w:rFonts w:ascii="Arial" w:hAnsi="Arial" w:cs="Arial"/>
                <w:bCs/>
                <w:sz w:val="22"/>
                <w:szCs w:val="22"/>
              </w:rPr>
              <w:t xml:space="preserve">valuation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2D3FBA">
              <w:rPr>
                <w:rFonts w:ascii="Arial" w:hAnsi="Arial" w:cs="Arial"/>
                <w:bCs/>
                <w:sz w:val="22"/>
                <w:szCs w:val="22"/>
              </w:rPr>
              <w:t xml:space="preserve">anager </w:t>
            </w:r>
            <w:r w:rsidR="002C501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 xml:space="preserve"> to support the development of the evaluation evidence</w:t>
            </w:r>
          </w:p>
          <w:p w14:paraId="6F341999" w14:textId="46E25344" w:rsidR="00B10DAC" w:rsidRDefault="00B10DAC" w:rsidP="00B31FEB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Partnership Directors 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>– to gather and to disseminate evidence</w:t>
            </w:r>
          </w:p>
          <w:p w14:paraId="6DD63273" w14:textId="3767A6CF" w:rsidR="00B10DAC" w:rsidRPr="00FD1266" w:rsidRDefault="00B10DAC" w:rsidP="00FD126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Head of Pr</w:t>
            </w:r>
            <w:r w:rsidRPr="00B10DAC">
              <w:rPr>
                <w:rFonts w:ascii="Arial" w:hAnsi="Arial" w:cs="Arial"/>
                <w:bCs/>
                <w:sz w:val="22"/>
                <w:szCs w:val="22"/>
              </w:rPr>
              <w:t xml:space="preserve">oducts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Services </w:t>
            </w:r>
            <w:r w:rsidR="007A2357">
              <w:rPr>
                <w:rFonts w:ascii="Arial" w:hAnsi="Arial" w:cs="Arial"/>
                <w:bCs/>
                <w:sz w:val="22"/>
                <w:szCs w:val="22"/>
              </w:rPr>
              <w:t>to gather and to disseminate evidence</w:t>
            </w:r>
          </w:p>
          <w:p w14:paraId="1781006D" w14:textId="2B9B63D9" w:rsidR="007A2357" w:rsidRPr="00B10DAC" w:rsidRDefault="007A2357" w:rsidP="00B10DAC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Head of Contracts &amp; Commissioning (for delivery of commissioned research)</w:t>
            </w:r>
          </w:p>
          <w:p w14:paraId="6DF2779A" w14:textId="77CE4689" w:rsidR="002D3FBA" w:rsidRPr="006371F4" w:rsidRDefault="002D3FBA" w:rsidP="002D3FBA">
            <w:pPr>
              <w:pStyle w:val="ListParagraph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54215" w14:textId="77777777" w:rsidR="00D5684C" w:rsidRPr="006371F4" w:rsidRDefault="00D5684C" w:rsidP="006A29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371F4">
              <w:rPr>
                <w:rFonts w:ascii="Arial" w:hAnsi="Arial" w:cs="Arial"/>
                <w:b/>
                <w:sz w:val="22"/>
                <w:szCs w:val="22"/>
              </w:rPr>
              <w:t>External:</w:t>
            </w:r>
          </w:p>
          <w:p w14:paraId="7AA8EA26" w14:textId="6E07B19C" w:rsidR="00B31FEB" w:rsidRPr="006371F4" w:rsidRDefault="00FC0E1B" w:rsidP="006371F4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7211B5">
              <w:rPr>
                <w:rFonts w:ascii="Arial" w:hAnsi="Arial" w:cs="Arial"/>
                <w:sz w:val="22"/>
                <w:szCs w:val="22"/>
              </w:rPr>
              <w:t xml:space="preserve">network of external research contacts and partners </w:t>
            </w:r>
          </w:p>
          <w:p w14:paraId="0D28BBD0" w14:textId="1BC33CA6" w:rsidR="00D5684C" w:rsidRPr="005514E8" w:rsidRDefault="007211B5" w:rsidP="006371F4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514E8">
              <w:rPr>
                <w:rFonts w:ascii="Arial" w:hAnsi="Arial" w:cs="Arial"/>
                <w:sz w:val="22"/>
                <w:szCs w:val="22"/>
              </w:rPr>
              <w:t xml:space="preserve">Engage as required with government, </w:t>
            </w:r>
            <w:r w:rsidR="005514E8" w:rsidRPr="005514E8">
              <w:rPr>
                <w:rFonts w:ascii="Arial" w:hAnsi="Arial" w:cs="Arial"/>
                <w:sz w:val="22"/>
                <w:szCs w:val="22"/>
              </w:rPr>
              <w:t>other related stakeholders and other industry bodies</w:t>
            </w:r>
            <w:r w:rsidR="007A2357">
              <w:rPr>
                <w:rFonts w:ascii="Arial" w:hAnsi="Arial" w:cs="Arial"/>
                <w:sz w:val="22"/>
                <w:szCs w:val="22"/>
              </w:rPr>
              <w:t>.  Externally to have the expertise and gravitas where needed to present CITB’s evidence base</w:t>
            </w:r>
            <w:r w:rsidR="005514E8" w:rsidRPr="005514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4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3041" w:rsidRPr="00FA0502" w14:paraId="2FE65A93" w14:textId="77777777" w:rsidTr="00D5684C">
        <w:tc>
          <w:tcPr>
            <w:tcW w:w="10594" w:type="dxa"/>
            <w:shd w:val="clear" w:color="auto" w:fill="E0E0E0"/>
          </w:tcPr>
          <w:p w14:paraId="0BDCD716" w14:textId="6DCBC330" w:rsidR="00303041" w:rsidRPr="006371F4" w:rsidRDefault="00303041" w:rsidP="00D24FE0">
            <w:pPr>
              <w:spacing w:before="60" w:after="60"/>
              <w:rPr>
                <w:rFonts w:ascii="Arial" w:hAnsi="Arial" w:cs="Arial"/>
                <w:b/>
              </w:rPr>
            </w:pPr>
            <w:r w:rsidRPr="006371F4">
              <w:rPr>
                <w:rFonts w:ascii="Arial" w:hAnsi="Arial" w:cs="Arial"/>
                <w:b/>
              </w:rPr>
              <w:t>Knowledge and Experience</w:t>
            </w:r>
            <w:r w:rsidR="002C501B">
              <w:rPr>
                <w:rFonts w:ascii="Arial" w:hAnsi="Arial" w:cs="Arial"/>
                <w:b/>
              </w:rPr>
              <w:t>:</w:t>
            </w:r>
          </w:p>
        </w:tc>
      </w:tr>
      <w:tr w:rsidR="00303041" w:rsidRPr="00FA0502" w14:paraId="72FAC580" w14:textId="77777777" w:rsidTr="00D5684C">
        <w:tc>
          <w:tcPr>
            <w:tcW w:w="10594" w:type="dxa"/>
            <w:shd w:val="clear" w:color="auto" w:fill="auto"/>
          </w:tcPr>
          <w:p w14:paraId="0895C2DB" w14:textId="77777777" w:rsidR="00303041" w:rsidRPr="006371F4" w:rsidRDefault="00303041" w:rsidP="00D24F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371F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55E05174" w14:textId="12D515CC" w:rsidR="00B31FEB" w:rsidRPr="006371F4" w:rsidRDefault="00B31FEB" w:rsidP="006371F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 xml:space="preserve">Degree or equivalent level qualification or experience </w:t>
            </w:r>
            <w:r w:rsidR="007A2357">
              <w:rPr>
                <w:rFonts w:ascii="Arial" w:hAnsi="Arial" w:cs="Arial"/>
                <w:sz w:val="22"/>
                <w:szCs w:val="22"/>
              </w:rPr>
              <w:t>in related discipline</w:t>
            </w:r>
          </w:p>
          <w:p w14:paraId="10B43E45" w14:textId="77777777" w:rsidR="00B31FEB" w:rsidRPr="006371F4" w:rsidRDefault="00B31FEB" w:rsidP="006371F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Comprehensive experience in managing complex research programmes/projects</w:t>
            </w:r>
          </w:p>
          <w:p w14:paraId="74223AA9" w14:textId="17610A74" w:rsidR="00B31FEB" w:rsidRPr="000A5453" w:rsidRDefault="00B31FEB" w:rsidP="000A545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 xml:space="preserve">Comprehensive knowledge of concepts and principles within own professional discipline, gained through broad and in-depth experience – a recognised expert and acknowledged authority within </w:t>
            </w:r>
            <w:r w:rsidR="007A2357">
              <w:rPr>
                <w:rFonts w:ascii="Arial" w:hAnsi="Arial" w:cs="Arial"/>
                <w:sz w:val="22"/>
                <w:szCs w:val="22"/>
              </w:rPr>
              <w:t>research</w:t>
            </w:r>
          </w:p>
          <w:p w14:paraId="09D18DAA" w14:textId="77777777" w:rsidR="00B31FEB" w:rsidRPr="006371F4" w:rsidRDefault="00B31FEB" w:rsidP="006371F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Advanced analytical skills in order to be able to evaluate factual and qualitative information in complicated or novel situations; demonstrable ability to filter, prioritise, analyse and validate potentially complex and dynamic material.</w:t>
            </w:r>
          </w:p>
          <w:p w14:paraId="617EDF55" w14:textId="77777777" w:rsidR="00B31FEB" w:rsidRPr="006371F4" w:rsidRDefault="00B31FEB" w:rsidP="006371F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High level of communication and networking skills, including interactive listening in order to be able to negotiate with other managers and senior leaders</w:t>
            </w:r>
          </w:p>
          <w:p w14:paraId="28C0498C" w14:textId="77777777" w:rsidR="008543B0" w:rsidRPr="008543B0" w:rsidRDefault="00B31FEB" w:rsidP="00FB7681">
            <w:pPr>
              <w:pStyle w:val="ListParagraph"/>
              <w:numPr>
                <w:ilvl w:val="0"/>
                <w:numId w:val="40"/>
              </w:num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3B0">
              <w:rPr>
                <w:rFonts w:ascii="Arial" w:hAnsi="Arial" w:cs="Arial"/>
                <w:sz w:val="22"/>
                <w:szCs w:val="22"/>
              </w:rPr>
              <w:t>Negotiation, influencing and diplomacy skills in order to be able to achieve the overall right outcome for CITB</w:t>
            </w:r>
          </w:p>
          <w:p w14:paraId="27891238" w14:textId="77777777" w:rsidR="008543B0" w:rsidRDefault="008543B0" w:rsidP="008543B0">
            <w:pPr>
              <w:pStyle w:val="ListParagraph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33E40" w14:textId="0B8FD272" w:rsidR="000A5453" w:rsidRPr="002C501B" w:rsidRDefault="008543B0" w:rsidP="002C501B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501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03041" w:rsidRPr="002C501B">
              <w:rPr>
                <w:rFonts w:ascii="Arial" w:hAnsi="Arial" w:cs="Arial"/>
                <w:b/>
                <w:sz w:val="22"/>
                <w:szCs w:val="22"/>
              </w:rPr>
              <w:t>esirable</w:t>
            </w:r>
          </w:p>
          <w:p w14:paraId="2873325A" w14:textId="0FEC7627" w:rsidR="00867B1E" w:rsidRPr="00867B1E" w:rsidRDefault="00867B1E" w:rsidP="00867B1E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Experience in planning and policy development</w:t>
            </w:r>
          </w:p>
          <w:p w14:paraId="4717EE9F" w14:textId="200CDC7C" w:rsidR="000A5453" w:rsidRPr="006371F4" w:rsidRDefault="000A5453" w:rsidP="000A545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Up-to-date knowledge and understanding of the latest developments and changes in the construction industry and its structure.</w:t>
            </w:r>
          </w:p>
          <w:p w14:paraId="53128261" w14:textId="7BF84451" w:rsidR="00AB2FC7" w:rsidRPr="008543B0" w:rsidRDefault="00214B38" w:rsidP="008543B0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Extensive knowledge of construction research and related stakeholders</w:t>
            </w:r>
          </w:p>
          <w:p w14:paraId="0DE32798" w14:textId="77777777" w:rsidR="00AB2FC7" w:rsidRPr="006371F4" w:rsidRDefault="00AB2FC7" w:rsidP="00AB2FC7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>A Higher Degree or equivalent experience that includes an element of statistical analysis and a substantial research component.</w:t>
            </w:r>
          </w:p>
          <w:p w14:paraId="1ED029D1" w14:textId="77777777" w:rsidR="00AB2FC7" w:rsidRPr="006371F4" w:rsidRDefault="00AB2FC7" w:rsidP="00AB2FC7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lastRenderedPageBreak/>
              <w:t xml:space="preserve">Project Management qualification </w:t>
            </w:r>
          </w:p>
          <w:p w14:paraId="62486C05" w14:textId="1F374576" w:rsidR="00303041" w:rsidRPr="008543B0" w:rsidRDefault="00AB2FC7" w:rsidP="00D24FE0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71F4">
              <w:rPr>
                <w:rFonts w:ascii="Arial" w:hAnsi="Arial" w:cs="Arial"/>
                <w:sz w:val="22"/>
                <w:szCs w:val="22"/>
              </w:rPr>
              <w:t xml:space="preserve">Operational knowledge of other business disciplines in order </w:t>
            </w:r>
            <w:r w:rsidR="00353711" w:rsidRPr="006371F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371F4">
              <w:rPr>
                <w:rFonts w:ascii="Arial" w:hAnsi="Arial" w:cs="Arial"/>
                <w:sz w:val="22"/>
                <w:szCs w:val="22"/>
              </w:rPr>
              <w:t>be able to resolve issues that have an impact beyond own professional discipline</w:t>
            </w:r>
          </w:p>
        </w:tc>
      </w:tr>
      <w:tr w:rsidR="00807A40" w:rsidRPr="00FA0502" w14:paraId="48533058" w14:textId="77777777" w:rsidTr="00D24FE0">
        <w:tc>
          <w:tcPr>
            <w:tcW w:w="10594" w:type="dxa"/>
            <w:shd w:val="clear" w:color="auto" w:fill="E0E0E0"/>
          </w:tcPr>
          <w:p w14:paraId="120CF70E" w14:textId="77777777" w:rsidR="00807A40" w:rsidRPr="006371F4" w:rsidRDefault="00807A40" w:rsidP="00D24FE0">
            <w:pPr>
              <w:spacing w:before="60" w:after="60"/>
              <w:rPr>
                <w:rFonts w:ascii="Arial" w:hAnsi="Arial" w:cs="Arial"/>
                <w:b/>
              </w:rPr>
            </w:pPr>
            <w:r w:rsidRPr="006371F4">
              <w:rPr>
                <w:rFonts w:ascii="Arial" w:hAnsi="Arial" w:cs="Arial"/>
                <w:b/>
              </w:rPr>
              <w:lastRenderedPageBreak/>
              <w:t xml:space="preserve">Behavioural competencies: </w:t>
            </w:r>
          </w:p>
        </w:tc>
      </w:tr>
      <w:tr w:rsidR="00807A40" w:rsidRPr="00730B4D" w14:paraId="5093E7BE" w14:textId="77777777" w:rsidTr="0098365F">
        <w:trPr>
          <w:trHeight w:val="1701"/>
        </w:trPr>
        <w:tc>
          <w:tcPr>
            <w:tcW w:w="10594" w:type="dxa"/>
            <w:shd w:val="clear" w:color="auto" w:fill="auto"/>
          </w:tcPr>
          <w:p w14:paraId="4C66D8A1" w14:textId="23A964DB" w:rsidR="001B6688" w:rsidRPr="00D875A3" w:rsidRDefault="002C501B" w:rsidP="00B67E7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C</w:t>
            </w:r>
            <w:r w:rsidR="001B6688" w:rsidRPr="00D875A3">
              <w:rPr>
                <w:rFonts w:ascii="Arial" w:hAnsi="Arial" w:cs="Arial"/>
                <w:sz w:val="22"/>
                <w:szCs w:val="22"/>
              </w:rPr>
              <w:t>ollaborative</w:t>
            </w:r>
            <w:r>
              <w:rPr>
                <w:rFonts w:ascii="Arial" w:hAnsi="Arial" w:cs="Arial"/>
                <w:sz w:val="22"/>
                <w:szCs w:val="22"/>
              </w:rPr>
              <w:t>ly</w:t>
            </w:r>
            <w:r w:rsidR="001B6688" w:rsidRPr="00D875A3">
              <w:rPr>
                <w:rFonts w:ascii="Arial" w:hAnsi="Arial" w:cs="Arial"/>
                <w:sz w:val="22"/>
                <w:szCs w:val="22"/>
              </w:rPr>
              <w:t xml:space="preserve"> (Level 4)</w:t>
            </w:r>
          </w:p>
          <w:p w14:paraId="737C994F" w14:textId="767FDB8E" w:rsidR="001B6688" w:rsidRPr="00D875A3" w:rsidRDefault="002C501B" w:rsidP="00B67E7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Drives for R</w:t>
            </w:r>
            <w:r w:rsidR="004D49CC">
              <w:rPr>
                <w:rFonts w:ascii="Arial" w:hAnsi="Arial" w:cs="Arial"/>
                <w:sz w:val="22"/>
                <w:szCs w:val="22"/>
              </w:rPr>
              <w:t>esults (Level 4</w:t>
            </w:r>
            <w:r w:rsidR="001B6688" w:rsidRPr="00D875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0AD0DB" w14:textId="11C00E28" w:rsidR="001B6688" w:rsidRPr="00D875A3" w:rsidRDefault="001B6688" w:rsidP="00B67E7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5A3">
              <w:rPr>
                <w:rFonts w:ascii="Arial" w:hAnsi="Arial" w:cs="Arial"/>
                <w:sz w:val="22"/>
                <w:szCs w:val="22"/>
              </w:rPr>
              <w:t xml:space="preserve">Working with </w:t>
            </w:r>
            <w:r w:rsidR="002C501B">
              <w:rPr>
                <w:rFonts w:ascii="Arial" w:hAnsi="Arial" w:cs="Arial"/>
                <w:sz w:val="22"/>
                <w:szCs w:val="22"/>
              </w:rPr>
              <w:t>Courage and I</w:t>
            </w:r>
            <w:r w:rsidR="004D49CC">
              <w:rPr>
                <w:rFonts w:ascii="Arial" w:hAnsi="Arial" w:cs="Arial"/>
                <w:sz w:val="22"/>
                <w:szCs w:val="22"/>
              </w:rPr>
              <w:t>ntegrity (Level 4</w:t>
            </w:r>
            <w:r w:rsidRPr="00D875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B74012" w14:textId="62E08C58" w:rsidR="001B6688" w:rsidRPr="00D875A3" w:rsidRDefault="002C501B" w:rsidP="00B67E7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Innovation, Change and A</w:t>
            </w:r>
            <w:r w:rsidR="001B6688" w:rsidRPr="00D875A3">
              <w:rPr>
                <w:rFonts w:ascii="Arial" w:hAnsi="Arial" w:cs="Arial"/>
                <w:sz w:val="22"/>
                <w:szCs w:val="22"/>
              </w:rPr>
              <w:t xml:space="preserve">gility (Level </w:t>
            </w:r>
            <w:r w:rsidR="004D49CC">
              <w:rPr>
                <w:rFonts w:ascii="Arial" w:hAnsi="Arial" w:cs="Arial"/>
                <w:sz w:val="22"/>
                <w:szCs w:val="22"/>
              </w:rPr>
              <w:t>4</w:t>
            </w:r>
            <w:r w:rsidR="001B6688" w:rsidRPr="00D875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B6B5F8" w14:textId="33F94A50" w:rsidR="00B67E7B" w:rsidRPr="00D875A3" w:rsidRDefault="002C501B" w:rsidP="00B67E7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Communicating</w:t>
            </w:r>
            <w:r w:rsidR="006F679F" w:rsidRPr="00D875A3">
              <w:rPr>
                <w:rFonts w:ascii="Arial" w:hAnsi="Arial" w:cs="Arial"/>
                <w:sz w:val="22"/>
                <w:szCs w:val="22"/>
              </w:rPr>
              <w:t xml:space="preserve"> with Impact (Level </w:t>
            </w:r>
            <w:r w:rsidR="004D49CC">
              <w:rPr>
                <w:rFonts w:ascii="Arial" w:hAnsi="Arial" w:cs="Arial"/>
                <w:sz w:val="22"/>
                <w:szCs w:val="22"/>
              </w:rPr>
              <w:t>4</w:t>
            </w:r>
            <w:r w:rsidR="006F679F" w:rsidRPr="00D875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05C9E81" w14:textId="2FAAA956" w:rsidR="00B67E7B" w:rsidRPr="006371F4" w:rsidRDefault="004D49CC" w:rsidP="006371F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beforeAutospacing="1" w:after="6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by Example (Level 4</w:t>
            </w:r>
            <w:r w:rsidR="006F679F" w:rsidRPr="00D875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3041" w:rsidRPr="00FA0502" w14:paraId="1F2CF780" w14:textId="77777777" w:rsidTr="00D5684C">
        <w:tc>
          <w:tcPr>
            <w:tcW w:w="10594" w:type="dxa"/>
            <w:shd w:val="clear" w:color="auto" w:fill="E0E0E0"/>
          </w:tcPr>
          <w:p w14:paraId="40BA2EA2" w14:textId="793BA3E8" w:rsidR="00303041" w:rsidRPr="00FA0502" w:rsidRDefault="00303041" w:rsidP="002C501B">
            <w:pPr>
              <w:spacing w:before="60" w:after="60"/>
              <w:rPr>
                <w:rFonts w:ascii="Arial" w:hAnsi="Arial" w:cs="Arial"/>
                <w:b/>
              </w:rPr>
            </w:pPr>
            <w:r w:rsidRPr="00FA0502">
              <w:rPr>
                <w:rFonts w:ascii="Arial" w:hAnsi="Arial" w:cs="Arial"/>
                <w:b/>
              </w:rPr>
              <w:t>Special Conditions/Other Requirements: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3041" w:rsidRPr="00FA0502" w14:paraId="5488E27D" w14:textId="77777777" w:rsidTr="0098365F">
        <w:trPr>
          <w:trHeight w:val="454"/>
        </w:trPr>
        <w:tc>
          <w:tcPr>
            <w:tcW w:w="10594" w:type="dxa"/>
            <w:shd w:val="clear" w:color="auto" w:fill="auto"/>
          </w:tcPr>
          <w:p w14:paraId="4B99056E" w14:textId="0E2F7FB2" w:rsidR="00303041" w:rsidRPr="0098365F" w:rsidRDefault="00B31FEB" w:rsidP="007A68C2">
            <w:pPr>
              <w:rPr>
                <w:rFonts w:ascii="Arial" w:hAnsi="Arial" w:cs="Arial"/>
                <w:sz w:val="22"/>
                <w:szCs w:val="22"/>
              </w:rPr>
            </w:pPr>
            <w:r w:rsidRPr="001F1AB3">
              <w:rPr>
                <w:rFonts w:ascii="Arial" w:hAnsi="Arial" w:cs="Arial"/>
                <w:sz w:val="22"/>
                <w:szCs w:val="22"/>
              </w:rPr>
              <w:t xml:space="preserve">Travel as required throughout 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</w:tbl>
    <w:p w14:paraId="1299C43A" w14:textId="77777777" w:rsidR="00370CF9" w:rsidRDefault="00370CF9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601B77A5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18C9DE71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1367654D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00A6030F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BCFFFE2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5986C19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377EF25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5B1E4637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3789BD9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4FFB4F1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50CD449C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6DCE0450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138863A2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262E6FC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57444709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165F6EA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6FBE5642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400075A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4026FEC2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3082415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5A5CF7AB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B96443F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0EC4F8A9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58421B8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290E5DC5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273024D0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7D00F5A8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28DD33C8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49183BF9" w14:textId="77777777" w:rsidR="002C501B" w:rsidRDefault="002C501B" w:rsidP="00370CF9">
      <w:pPr>
        <w:spacing w:before="60" w:after="60"/>
        <w:rPr>
          <w:rFonts w:ascii="Arial" w:hAnsi="Arial" w:cs="Arial"/>
          <w:i/>
          <w:sz w:val="20"/>
          <w:szCs w:val="20"/>
          <w:highlight w:val="yellow"/>
        </w:rPr>
      </w:pPr>
    </w:p>
    <w:p w14:paraId="3C679BAB" w14:textId="77777777" w:rsidR="002C501B" w:rsidRDefault="002C501B" w:rsidP="00370CF9">
      <w:pPr>
        <w:spacing w:before="60" w:after="60"/>
        <w:rPr>
          <w:rFonts w:ascii="Arial" w:hAnsi="Arial" w:cs="Arial"/>
          <w:b/>
          <w:sz w:val="16"/>
          <w:szCs w:val="16"/>
        </w:rPr>
      </w:pPr>
    </w:p>
    <w:p w14:paraId="4006B832" w14:textId="77777777" w:rsidR="00370CF9" w:rsidRDefault="00370CF9" w:rsidP="00370CF9">
      <w:pPr>
        <w:spacing w:before="6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Version Control: </w:t>
      </w:r>
    </w:p>
    <w:p w14:paraId="4DDBEF00" w14:textId="77777777" w:rsidR="00D5684C" w:rsidRDefault="00D5684C" w:rsidP="00370CF9">
      <w:pPr>
        <w:spacing w:before="60" w:after="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  <w:gridCol w:w="3693"/>
        <w:gridCol w:w="3693"/>
      </w:tblGrid>
      <w:tr w:rsidR="00370CF9" w14:paraId="2817E372" w14:textId="77777777" w:rsidTr="00370C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1E" w14:textId="77777777" w:rsidR="00370CF9" w:rsidRDefault="00370CF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2FA" w14:textId="77777777" w:rsidR="00370CF9" w:rsidRDefault="00370CF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F0E4" w14:textId="77777777" w:rsidR="00370CF9" w:rsidRDefault="00370CF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Author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5CC" w14:textId="77777777" w:rsidR="00370CF9" w:rsidRDefault="00370CF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Change</w:t>
            </w:r>
          </w:p>
        </w:tc>
      </w:tr>
      <w:tr w:rsidR="00370CF9" w14:paraId="6F54A5A7" w14:textId="77777777" w:rsidTr="007A68C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26B8" w14:textId="77777777" w:rsidR="00370CF9" w:rsidRDefault="00370CF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05F9AA4B" w:rsidR="00370CF9" w:rsidRDefault="002C50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19/02/20</w:t>
            </w:r>
            <w:r w:rsidR="004D49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64B06D54" w:rsidR="00370CF9" w:rsidRDefault="002C50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Radley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5F5F2501" w:rsidR="00370CF9" w:rsidRDefault="002C50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Role</w:t>
            </w:r>
          </w:p>
        </w:tc>
      </w:tr>
      <w:tr w:rsidR="00370CF9" w14:paraId="494AC823" w14:textId="77777777" w:rsidTr="007A68C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93C" w14:textId="0D176FC9" w:rsidR="00370CF9" w:rsidRDefault="004D49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57283B60" w:rsidR="00370CF9" w:rsidRDefault="004D49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21/02/2020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5606AC21" w:rsidR="00370CF9" w:rsidRDefault="004D49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Nicola Branson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9064042" w:rsidR="00370CF9" w:rsidRDefault="004D49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 amends to ensure compliant</w:t>
            </w:r>
          </w:p>
        </w:tc>
      </w:tr>
    </w:tbl>
    <w:p w14:paraId="62EBF3C5" w14:textId="77777777" w:rsidR="00D5684C" w:rsidRDefault="00D5684C" w:rsidP="00D5684C">
      <w:pPr>
        <w:spacing w:before="60" w:after="60"/>
        <w:rPr>
          <w:rFonts w:ascii="Arial" w:hAnsi="Arial" w:cs="Arial"/>
          <w:b/>
          <w:color w:val="FF0000"/>
          <w:sz w:val="16"/>
          <w:szCs w:val="16"/>
        </w:rPr>
      </w:pPr>
    </w:p>
    <w:p w14:paraId="1DD487E3" w14:textId="77777777" w:rsidR="00D5684C" w:rsidRDefault="00D5684C" w:rsidP="00D5684C">
      <w:pPr>
        <w:spacing w:before="60" w:after="6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Version Control System</w:t>
      </w:r>
    </w:p>
    <w:p w14:paraId="00B1BC75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When creating this document or making any amendments to an existing document please:  indicate the version of the document in the table above along with the date and a brief outline of the change(s) made. Please follow the control system examples below to ensure consistency and continuity.</w:t>
      </w:r>
    </w:p>
    <w:p w14:paraId="6D98A12B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</w:p>
    <w:p w14:paraId="2CF1969C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0.1</w:t>
      </w:r>
      <w:r>
        <w:rPr>
          <w:rFonts w:ascii="Arial" w:hAnsi="Arial" w:cs="Arial"/>
          <w:color w:val="FF0000"/>
          <w:sz w:val="16"/>
          <w:szCs w:val="16"/>
        </w:rPr>
        <w:tab/>
        <w:t>Draft version.</w:t>
      </w:r>
    </w:p>
    <w:p w14:paraId="5597C64B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0.2</w:t>
      </w:r>
      <w:r>
        <w:rPr>
          <w:rFonts w:ascii="Arial" w:hAnsi="Arial" w:cs="Arial"/>
          <w:color w:val="FF0000"/>
          <w:sz w:val="16"/>
          <w:szCs w:val="16"/>
        </w:rPr>
        <w:tab/>
        <w:t>(etc.) Update to draft version.</w:t>
      </w:r>
    </w:p>
    <w:p w14:paraId="41EC993D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1.0</w:t>
      </w:r>
      <w:r>
        <w:rPr>
          <w:rFonts w:ascii="Arial" w:hAnsi="Arial" w:cs="Arial"/>
          <w:color w:val="FF0000"/>
          <w:sz w:val="16"/>
          <w:szCs w:val="16"/>
        </w:rPr>
        <w:tab/>
        <w:t>First finalised version. At this stage the document is ready to be ‘issued’ for Job Evaluation – but has not been evaluated</w:t>
      </w:r>
    </w:p>
    <w:p w14:paraId="119FAA8D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1.1</w:t>
      </w:r>
      <w:r>
        <w:rPr>
          <w:rFonts w:ascii="Arial" w:hAnsi="Arial" w:cs="Arial"/>
          <w:color w:val="FF0000"/>
          <w:sz w:val="16"/>
          <w:szCs w:val="16"/>
        </w:rPr>
        <w:tab/>
        <w:t>(etc.) Subsequent amendments to the first ‘issued’ version prior to evaluation.</w:t>
      </w:r>
    </w:p>
    <w:p w14:paraId="25C4793B" w14:textId="77777777" w:rsidR="00D5684C" w:rsidRDefault="00D5684C" w:rsidP="00732C1A">
      <w:pPr>
        <w:spacing w:before="60" w:after="60"/>
        <w:ind w:left="1440" w:hanging="144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1.1(E)</w:t>
      </w:r>
      <w:r>
        <w:rPr>
          <w:rFonts w:ascii="Arial" w:hAnsi="Arial" w:cs="Arial"/>
          <w:color w:val="FF0000"/>
          <w:sz w:val="16"/>
          <w:szCs w:val="16"/>
        </w:rPr>
        <w:tab/>
        <w:t xml:space="preserve">The ‘E’ indicates that the role has been evaluated through the Job Evaluation process and a Grade has been agreed. 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732C1A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color w:val="FF0000"/>
          <w:sz w:val="16"/>
          <w:szCs w:val="16"/>
        </w:rPr>
        <w:t xml:space="preserve">This is now a ‘live’ version.  </w:t>
      </w:r>
    </w:p>
    <w:p w14:paraId="4C33028D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2.0(E)</w:t>
      </w:r>
      <w:r>
        <w:rPr>
          <w:rFonts w:ascii="Arial" w:hAnsi="Arial" w:cs="Arial"/>
          <w:color w:val="FF0000"/>
          <w:sz w:val="16"/>
          <w:szCs w:val="16"/>
        </w:rPr>
        <w:tab/>
        <w:t xml:space="preserve">Indicated a major revamp that does not affect the role’s Grade.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 xml:space="preserve">For example where the role content is reviewed after a 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732C1A">
        <w:rPr>
          <w:rFonts w:ascii="Arial" w:hAnsi="Arial" w:cs="Arial"/>
          <w:color w:val="FF0000"/>
          <w:sz w:val="16"/>
          <w:szCs w:val="16"/>
        </w:rPr>
        <w:tab/>
      </w:r>
      <w:r w:rsidR="00732C1A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>period of time.</w:t>
      </w:r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AB0812E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2.0(N)</w:t>
      </w:r>
      <w:r>
        <w:rPr>
          <w:rFonts w:ascii="Arial" w:hAnsi="Arial" w:cs="Arial"/>
          <w:color w:val="FF0000"/>
          <w:sz w:val="16"/>
          <w:szCs w:val="16"/>
        </w:rPr>
        <w:tab/>
        <w:t xml:space="preserve">Indicated a major revamp that is expected to affect the role’s Grade and re-evaluation is required. </w:t>
      </w:r>
    </w:p>
    <w:p w14:paraId="12708B20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Version 2.1(E)</w:t>
      </w:r>
      <w:r>
        <w:rPr>
          <w:rFonts w:ascii="Arial" w:hAnsi="Arial" w:cs="Arial"/>
          <w:color w:val="FF0000"/>
          <w:sz w:val="16"/>
          <w:szCs w:val="16"/>
        </w:rPr>
        <w:tab/>
        <w:t xml:space="preserve">Indicates that the role has been evaluated through the Job Evaluation process and a Grade has been agreed. This is 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732C1A">
        <w:rPr>
          <w:rFonts w:ascii="Arial" w:hAnsi="Arial" w:cs="Arial"/>
          <w:color w:val="FF0000"/>
          <w:sz w:val="16"/>
          <w:szCs w:val="16"/>
        </w:rPr>
        <w:tab/>
      </w:r>
      <w:r w:rsidR="00732C1A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now a new ‘live’ version.  </w:t>
      </w:r>
    </w:p>
    <w:p w14:paraId="2946DB82" w14:textId="77777777" w:rsidR="00D5684C" w:rsidRDefault="00D5684C" w:rsidP="00D5684C">
      <w:pPr>
        <w:spacing w:before="60" w:after="60"/>
        <w:rPr>
          <w:rFonts w:ascii="Arial" w:hAnsi="Arial" w:cs="Arial"/>
          <w:color w:val="FF0000"/>
          <w:sz w:val="16"/>
          <w:szCs w:val="16"/>
        </w:rPr>
      </w:pPr>
    </w:p>
    <w:p w14:paraId="23F6F564" w14:textId="3DCBF62E" w:rsidR="000F4C92" w:rsidRPr="008543B0" w:rsidRDefault="000F4C92" w:rsidP="008543B0">
      <w:pPr>
        <w:spacing w:before="60" w:after="60"/>
        <w:rPr>
          <w:rFonts w:ascii="Arial" w:hAnsi="Arial" w:cs="Arial"/>
          <w:sz w:val="22"/>
          <w:szCs w:val="22"/>
        </w:rPr>
      </w:pPr>
    </w:p>
    <w:p w14:paraId="6C89D162" w14:textId="77777777" w:rsidR="0056186F" w:rsidRDefault="0056186F" w:rsidP="000518EB">
      <w:pPr>
        <w:spacing w:before="60" w:after="60"/>
        <w:rPr>
          <w:rFonts w:ascii="Arial" w:hAnsi="Arial" w:cs="Arial"/>
          <w:sz w:val="16"/>
          <w:szCs w:val="16"/>
        </w:rPr>
      </w:pPr>
    </w:p>
    <w:sectPr w:rsidR="0056186F" w:rsidSect="00732C1A">
      <w:head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6CB2" w14:textId="77777777" w:rsidR="00D2306A" w:rsidRDefault="00D2306A">
      <w:r>
        <w:separator/>
      </w:r>
    </w:p>
  </w:endnote>
  <w:endnote w:type="continuationSeparator" w:id="0">
    <w:p w14:paraId="65B0D435" w14:textId="77777777" w:rsidR="00D2306A" w:rsidRDefault="00D2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6E8C" w14:textId="77777777" w:rsidR="00D2306A" w:rsidRDefault="00D2306A">
      <w:r>
        <w:separator/>
      </w:r>
    </w:p>
  </w:footnote>
  <w:footnote w:type="continuationSeparator" w:id="0">
    <w:p w14:paraId="6A568305" w14:textId="77777777" w:rsidR="00D2306A" w:rsidRDefault="00D2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995D" w14:textId="77777777" w:rsidR="00655C2C" w:rsidRPr="00655C2C" w:rsidRDefault="00BF0A03" w:rsidP="006D0F17">
    <w:pPr>
      <w:pStyle w:val="Header"/>
      <w:tabs>
        <w:tab w:val="clear" w:pos="8306"/>
        <w:tab w:val="right" w:pos="10206"/>
      </w:tabs>
      <w:jc w:val="both"/>
      <w:rPr>
        <w:rFonts w:ascii="Arial" w:hAnsi="Arial" w:cs="Arial"/>
        <w:sz w:val="72"/>
        <w:szCs w:val="72"/>
      </w:rPr>
    </w:pPr>
    <w:r>
      <w:rPr>
        <w:b/>
        <w:bCs/>
        <w:noProof/>
        <w:sz w:val="40"/>
        <w:lang w:eastAsia="en-GB"/>
      </w:rPr>
      <w:drawing>
        <wp:inline distT="0" distB="0" distL="0" distR="0" wp14:anchorId="5F35FC0D" wp14:editId="35136659">
          <wp:extent cx="1535430" cy="577850"/>
          <wp:effectExtent l="0" t="0" r="7620" b="0"/>
          <wp:docPr id="3" name="Picture 3" descr="A4 CITB logo C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ITB logo C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C2C">
      <w:rPr>
        <w:b/>
        <w:bCs/>
        <w:sz w:val="40"/>
      </w:rPr>
      <w:tab/>
    </w:r>
    <w:r w:rsidR="00655C2C">
      <w:rPr>
        <w:b/>
        <w:bCs/>
        <w:sz w:val="40"/>
      </w:rPr>
      <w:tab/>
    </w:r>
    <w:r w:rsidR="009B2175">
      <w:rPr>
        <w:b/>
        <w:bCs/>
        <w:sz w:val="40"/>
      </w:rPr>
      <w:t xml:space="preserve">  </w:t>
    </w:r>
    <w:r w:rsidR="00655C2C">
      <w:rPr>
        <w:rFonts w:ascii="Arial" w:hAnsi="Arial" w:cs="Arial"/>
        <w:b/>
        <w:sz w:val="70"/>
        <w:szCs w:val="70"/>
      </w:rPr>
      <w:t>Role</w:t>
    </w:r>
    <w:r w:rsidR="00655C2C" w:rsidRPr="00655C2C">
      <w:rPr>
        <w:rFonts w:ascii="Arial" w:hAnsi="Arial" w:cs="Arial"/>
        <w:b/>
        <w:sz w:val="70"/>
        <w:szCs w:val="70"/>
      </w:rPr>
      <w:t xml:space="preserve"> </w:t>
    </w:r>
    <w:r w:rsidR="0058549F">
      <w:rPr>
        <w:rFonts w:ascii="Arial" w:hAnsi="Arial" w:cs="Arial"/>
        <w:b/>
        <w:sz w:val="70"/>
        <w:szCs w:val="70"/>
      </w:rPr>
      <w:t>Profile</w:t>
    </w:r>
  </w:p>
  <w:p w14:paraId="110FFD37" w14:textId="77777777" w:rsidR="009B2175" w:rsidRDefault="009B2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C7"/>
    <w:multiLevelType w:val="hybridMultilevel"/>
    <w:tmpl w:val="AB94E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256DD"/>
    <w:multiLevelType w:val="multilevel"/>
    <w:tmpl w:val="E7E2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809D2"/>
    <w:multiLevelType w:val="hybridMultilevel"/>
    <w:tmpl w:val="8E9A5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44637"/>
    <w:multiLevelType w:val="hybridMultilevel"/>
    <w:tmpl w:val="091A6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CC0"/>
    <w:multiLevelType w:val="hybridMultilevel"/>
    <w:tmpl w:val="A7526B98"/>
    <w:lvl w:ilvl="0" w:tplc="1D62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62932">
      <w:numFmt w:val="none"/>
      <w:lvlText w:val=""/>
      <w:lvlJc w:val="left"/>
      <w:pPr>
        <w:tabs>
          <w:tab w:val="num" w:pos="360"/>
        </w:tabs>
      </w:pPr>
    </w:lvl>
    <w:lvl w:ilvl="2" w:tplc="F0F0DFE0">
      <w:numFmt w:val="none"/>
      <w:lvlText w:val=""/>
      <w:lvlJc w:val="left"/>
      <w:pPr>
        <w:tabs>
          <w:tab w:val="num" w:pos="360"/>
        </w:tabs>
      </w:pPr>
    </w:lvl>
    <w:lvl w:ilvl="3" w:tplc="55027F6E">
      <w:numFmt w:val="none"/>
      <w:lvlText w:val=""/>
      <w:lvlJc w:val="left"/>
      <w:pPr>
        <w:tabs>
          <w:tab w:val="num" w:pos="360"/>
        </w:tabs>
      </w:pPr>
    </w:lvl>
    <w:lvl w:ilvl="4" w:tplc="066A4B4E">
      <w:numFmt w:val="none"/>
      <w:lvlText w:val=""/>
      <w:lvlJc w:val="left"/>
      <w:pPr>
        <w:tabs>
          <w:tab w:val="num" w:pos="360"/>
        </w:tabs>
      </w:pPr>
    </w:lvl>
    <w:lvl w:ilvl="5" w:tplc="4D505D76">
      <w:numFmt w:val="none"/>
      <w:lvlText w:val=""/>
      <w:lvlJc w:val="left"/>
      <w:pPr>
        <w:tabs>
          <w:tab w:val="num" w:pos="360"/>
        </w:tabs>
      </w:pPr>
    </w:lvl>
    <w:lvl w:ilvl="6" w:tplc="F9CEFD1C">
      <w:numFmt w:val="none"/>
      <w:lvlText w:val=""/>
      <w:lvlJc w:val="left"/>
      <w:pPr>
        <w:tabs>
          <w:tab w:val="num" w:pos="360"/>
        </w:tabs>
      </w:pPr>
    </w:lvl>
    <w:lvl w:ilvl="7" w:tplc="C70E1DC6">
      <w:numFmt w:val="none"/>
      <w:lvlText w:val=""/>
      <w:lvlJc w:val="left"/>
      <w:pPr>
        <w:tabs>
          <w:tab w:val="num" w:pos="360"/>
        </w:tabs>
      </w:pPr>
    </w:lvl>
    <w:lvl w:ilvl="8" w:tplc="BB66B0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4A6539"/>
    <w:multiLevelType w:val="hybridMultilevel"/>
    <w:tmpl w:val="AE0CA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C4A73"/>
    <w:multiLevelType w:val="multilevel"/>
    <w:tmpl w:val="C6961C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B41B96"/>
    <w:multiLevelType w:val="hybridMultilevel"/>
    <w:tmpl w:val="EA765D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071227"/>
    <w:multiLevelType w:val="hybridMultilevel"/>
    <w:tmpl w:val="232A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34FE"/>
    <w:multiLevelType w:val="hybridMultilevel"/>
    <w:tmpl w:val="7CF6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10E3"/>
    <w:multiLevelType w:val="hybridMultilevel"/>
    <w:tmpl w:val="325EBD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5462C"/>
    <w:multiLevelType w:val="hybridMultilevel"/>
    <w:tmpl w:val="7D0C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2B83"/>
    <w:multiLevelType w:val="hybridMultilevel"/>
    <w:tmpl w:val="20A6DB28"/>
    <w:lvl w:ilvl="0" w:tplc="23721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4E6B"/>
    <w:multiLevelType w:val="hybridMultilevel"/>
    <w:tmpl w:val="69BA6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151BAA"/>
    <w:multiLevelType w:val="hybridMultilevel"/>
    <w:tmpl w:val="0B94A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91775"/>
    <w:multiLevelType w:val="hybridMultilevel"/>
    <w:tmpl w:val="1D1C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164D1"/>
    <w:multiLevelType w:val="hybridMultilevel"/>
    <w:tmpl w:val="DEACE63C"/>
    <w:lvl w:ilvl="0" w:tplc="612E7B0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C6706"/>
    <w:multiLevelType w:val="multilevel"/>
    <w:tmpl w:val="BF269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657CB8"/>
    <w:multiLevelType w:val="hybridMultilevel"/>
    <w:tmpl w:val="C562D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0079A"/>
    <w:multiLevelType w:val="hybridMultilevel"/>
    <w:tmpl w:val="8BE2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54C7C"/>
    <w:multiLevelType w:val="hybridMultilevel"/>
    <w:tmpl w:val="D320EA9C"/>
    <w:lvl w:ilvl="0" w:tplc="BEB2625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4D0406"/>
    <w:multiLevelType w:val="hybridMultilevel"/>
    <w:tmpl w:val="763699C0"/>
    <w:lvl w:ilvl="0" w:tplc="612E7B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C6903"/>
    <w:multiLevelType w:val="hybridMultilevel"/>
    <w:tmpl w:val="4AD07B7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9858CD"/>
    <w:multiLevelType w:val="multilevel"/>
    <w:tmpl w:val="C90EAA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414"/>
        </w:tabs>
        <w:ind w:left="44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4E43D1"/>
    <w:multiLevelType w:val="hybridMultilevel"/>
    <w:tmpl w:val="EBE8D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B0DFC"/>
    <w:multiLevelType w:val="hybridMultilevel"/>
    <w:tmpl w:val="5B1E1050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9100758"/>
    <w:multiLevelType w:val="hybridMultilevel"/>
    <w:tmpl w:val="FB2A4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C4091F"/>
    <w:multiLevelType w:val="hybridMultilevel"/>
    <w:tmpl w:val="3C10A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03A31"/>
    <w:multiLevelType w:val="multilevel"/>
    <w:tmpl w:val="3A809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296131"/>
    <w:multiLevelType w:val="multilevel"/>
    <w:tmpl w:val="A15236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642EAB"/>
    <w:multiLevelType w:val="hybridMultilevel"/>
    <w:tmpl w:val="2D02F4B6"/>
    <w:lvl w:ilvl="0" w:tplc="37C87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32E76"/>
    <w:multiLevelType w:val="hybridMultilevel"/>
    <w:tmpl w:val="7F22DEF0"/>
    <w:lvl w:ilvl="0" w:tplc="612E7B0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17161B"/>
    <w:multiLevelType w:val="hybridMultilevel"/>
    <w:tmpl w:val="72F82A8C"/>
    <w:lvl w:ilvl="0" w:tplc="612E7B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85E11"/>
    <w:multiLevelType w:val="multilevel"/>
    <w:tmpl w:val="E3749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D66877"/>
    <w:multiLevelType w:val="hybridMultilevel"/>
    <w:tmpl w:val="D3783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7F5F"/>
    <w:multiLevelType w:val="hybridMultilevel"/>
    <w:tmpl w:val="669A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76B79"/>
    <w:multiLevelType w:val="hybridMultilevel"/>
    <w:tmpl w:val="B77C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2335F"/>
    <w:multiLevelType w:val="hybridMultilevel"/>
    <w:tmpl w:val="E37498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590C4C"/>
    <w:multiLevelType w:val="hybridMultilevel"/>
    <w:tmpl w:val="F5209310"/>
    <w:lvl w:ilvl="0" w:tplc="612E7B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1370E"/>
    <w:multiLevelType w:val="hybridMultilevel"/>
    <w:tmpl w:val="9714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A6C35"/>
    <w:multiLevelType w:val="hybridMultilevel"/>
    <w:tmpl w:val="F5A6A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D049CD"/>
    <w:multiLevelType w:val="hybridMultilevel"/>
    <w:tmpl w:val="A17CB5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3"/>
  </w:num>
  <w:num w:numId="5">
    <w:abstractNumId w:val="28"/>
  </w:num>
  <w:num w:numId="6">
    <w:abstractNumId w:val="29"/>
  </w:num>
  <w:num w:numId="7">
    <w:abstractNumId w:val="6"/>
  </w:num>
  <w:num w:numId="8">
    <w:abstractNumId w:val="37"/>
  </w:num>
  <w:num w:numId="9">
    <w:abstractNumId w:val="33"/>
  </w:num>
  <w:num w:numId="10">
    <w:abstractNumId w:val="41"/>
  </w:num>
  <w:num w:numId="11">
    <w:abstractNumId w:val="25"/>
  </w:num>
  <w:num w:numId="12">
    <w:abstractNumId w:val="34"/>
  </w:num>
  <w:num w:numId="13">
    <w:abstractNumId w:val="14"/>
  </w:num>
  <w:num w:numId="14">
    <w:abstractNumId w:val="10"/>
  </w:num>
  <w:num w:numId="15">
    <w:abstractNumId w:val="22"/>
  </w:num>
  <w:num w:numId="16">
    <w:abstractNumId w:val="7"/>
  </w:num>
  <w:num w:numId="17">
    <w:abstractNumId w:val="27"/>
  </w:num>
  <w:num w:numId="18">
    <w:abstractNumId w:val="2"/>
  </w:num>
  <w:num w:numId="19">
    <w:abstractNumId w:val="1"/>
  </w:num>
  <w:num w:numId="20">
    <w:abstractNumId w:val="20"/>
  </w:num>
  <w:num w:numId="21">
    <w:abstractNumId w:val="26"/>
  </w:num>
  <w:num w:numId="22">
    <w:abstractNumId w:val="36"/>
  </w:num>
  <w:num w:numId="23">
    <w:abstractNumId w:val="32"/>
  </w:num>
  <w:num w:numId="24">
    <w:abstractNumId w:val="16"/>
  </w:num>
  <w:num w:numId="25">
    <w:abstractNumId w:val="38"/>
  </w:num>
  <w:num w:numId="26">
    <w:abstractNumId w:val="21"/>
  </w:num>
  <w:num w:numId="27">
    <w:abstractNumId w:val="31"/>
  </w:num>
  <w:num w:numId="28">
    <w:abstractNumId w:val="18"/>
  </w:num>
  <w:num w:numId="29">
    <w:abstractNumId w:val="0"/>
  </w:num>
  <w:num w:numId="30">
    <w:abstractNumId w:val="24"/>
  </w:num>
  <w:num w:numId="31">
    <w:abstractNumId w:val="13"/>
  </w:num>
  <w:num w:numId="32">
    <w:abstractNumId w:val="40"/>
  </w:num>
  <w:num w:numId="33">
    <w:abstractNumId w:val="11"/>
  </w:num>
  <w:num w:numId="34">
    <w:abstractNumId w:val="35"/>
  </w:num>
  <w:num w:numId="35">
    <w:abstractNumId w:val="19"/>
  </w:num>
  <w:num w:numId="36">
    <w:abstractNumId w:val="39"/>
  </w:num>
  <w:num w:numId="37">
    <w:abstractNumId w:val="3"/>
  </w:num>
  <w:num w:numId="38">
    <w:abstractNumId w:val="12"/>
  </w:num>
  <w:num w:numId="39">
    <w:abstractNumId w:val="15"/>
  </w:num>
  <w:num w:numId="40">
    <w:abstractNumId w:val="9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2"/>
    <w:rsid w:val="000012DA"/>
    <w:rsid w:val="00040971"/>
    <w:rsid w:val="00047A37"/>
    <w:rsid w:val="000518EB"/>
    <w:rsid w:val="000542F3"/>
    <w:rsid w:val="00067B6F"/>
    <w:rsid w:val="00075FF3"/>
    <w:rsid w:val="00081E60"/>
    <w:rsid w:val="000A5453"/>
    <w:rsid w:val="000C103D"/>
    <w:rsid w:val="000D370B"/>
    <w:rsid w:val="000E1011"/>
    <w:rsid w:val="000F4C92"/>
    <w:rsid w:val="0011263D"/>
    <w:rsid w:val="0011671A"/>
    <w:rsid w:val="001323DF"/>
    <w:rsid w:val="00135CF8"/>
    <w:rsid w:val="00142E76"/>
    <w:rsid w:val="0014767C"/>
    <w:rsid w:val="00154157"/>
    <w:rsid w:val="001712BA"/>
    <w:rsid w:val="001718E4"/>
    <w:rsid w:val="001A54EF"/>
    <w:rsid w:val="001B5559"/>
    <w:rsid w:val="001B6688"/>
    <w:rsid w:val="001C6C5D"/>
    <w:rsid w:val="001E128F"/>
    <w:rsid w:val="001E725C"/>
    <w:rsid w:val="001F0DED"/>
    <w:rsid w:val="001F1AB3"/>
    <w:rsid w:val="00214B38"/>
    <w:rsid w:val="00230CBF"/>
    <w:rsid w:val="002469F7"/>
    <w:rsid w:val="00251C01"/>
    <w:rsid w:val="002614C6"/>
    <w:rsid w:val="00266B2F"/>
    <w:rsid w:val="00267751"/>
    <w:rsid w:val="00281319"/>
    <w:rsid w:val="00282217"/>
    <w:rsid w:val="0028589F"/>
    <w:rsid w:val="00292C91"/>
    <w:rsid w:val="00296EE4"/>
    <w:rsid w:val="002B2938"/>
    <w:rsid w:val="002C11EC"/>
    <w:rsid w:val="002C1E3F"/>
    <w:rsid w:val="002C501B"/>
    <w:rsid w:val="002D3FBA"/>
    <w:rsid w:val="002E28CA"/>
    <w:rsid w:val="002F1AC0"/>
    <w:rsid w:val="00303041"/>
    <w:rsid w:val="00316F2C"/>
    <w:rsid w:val="0032435F"/>
    <w:rsid w:val="00343EB2"/>
    <w:rsid w:val="00346503"/>
    <w:rsid w:val="003466F4"/>
    <w:rsid w:val="00353711"/>
    <w:rsid w:val="00360F64"/>
    <w:rsid w:val="00370CF9"/>
    <w:rsid w:val="003734BA"/>
    <w:rsid w:val="00377FFE"/>
    <w:rsid w:val="0038106D"/>
    <w:rsid w:val="0038468B"/>
    <w:rsid w:val="0039033F"/>
    <w:rsid w:val="003906CD"/>
    <w:rsid w:val="00393850"/>
    <w:rsid w:val="003A4BF7"/>
    <w:rsid w:val="003A4C9F"/>
    <w:rsid w:val="003A728C"/>
    <w:rsid w:val="003B700C"/>
    <w:rsid w:val="003C7423"/>
    <w:rsid w:val="003D3C2E"/>
    <w:rsid w:val="003D4E0D"/>
    <w:rsid w:val="003D64E8"/>
    <w:rsid w:val="00400BE1"/>
    <w:rsid w:val="0042260C"/>
    <w:rsid w:val="00425088"/>
    <w:rsid w:val="00437E52"/>
    <w:rsid w:val="0044039A"/>
    <w:rsid w:val="004468E3"/>
    <w:rsid w:val="004573B4"/>
    <w:rsid w:val="00465470"/>
    <w:rsid w:val="00481602"/>
    <w:rsid w:val="00493A93"/>
    <w:rsid w:val="004B26E5"/>
    <w:rsid w:val="004D49CC"/>
    <w:rsid w:val="004E2146"/>
    <w:rsid w:val="004E5FB6"/>
    <w:rsid w:val="004F14F1"/>
    <w:rsid w:val="004F5E52"/>
    <w:rsid w:val="004F6C9C"/>
    <w:rsid w:val="0053533B"/>
    <w:rsid w:val="00544362"/>
    <w:rsid w:val="00550B15"/>
    <w:rsid w:val="005514E8"/>
    <w:rsid w:val="0055309D"/>
    <w:rsid w:val="00556D37"/>
    <w:rsid w:val="00560116"/>
    <w:rsid w:val="0056186F"/>
    <w:rsid w:val="0056457F"/>
    <w:rsid w:val="00577549"/>
    <w:rsid w:val="0058549F"/>
    <w:rsid w:val="0059497A"/>
    <w:rsid w:val="005A25FF"/>
    <w:rsid w:val="005A4434"/>
    <w:rsid w:val="005B06C7"/>
    <w:rsid w:val="005B5A24"/>
    <w:rsid w:val="005C6B35"/>
    <w:rsid w:val="005D2DF5"/>
    <w:rsid w:val="005D3600"/>
    <w:rsid w:val="005D7D8A"/>
    <w:rsid w:val="005E2D4D"/>
    <w:rsid w:val="005E6614"/>
    <w:rsid w:val="005E699D"/>
    <w:rsid w:val="005F7AA8"/>
    <w:rsid w:val="0060459A"/>
    <w:rsid w:val="00604CAB"/>
    <w:rsid w:val="00610A72"/>
    <w:rsid w:val="00622650"/>
    <w:rsid w:val="006371F4"/>
    <w:rsid w:val="006449BB"/>
    <w:rsid w:val="00655C2C"/>
    <w:rsid w:val="00666DDB"/>
    <w:rsid w:val="0067381D"/>
    <w:rsid w:val="00677AB1"/>
    <w:rsid w:val="00680A63"/>
    <w:rsid w:val="00681018"/>
    <w:rsid w:val="00690EC4"/>
    <w:rsid w:val="006933ED"/>
    <w:rsid w:val="006A0203"/>
    <w:rsid w:val="006A55B0"/>
    <w:rsid w:val="006B644B"/>
    <w:rsid w:val="006C18F1"/>
    <w:rsid w:val="006C5D16"/>
    <w:rsid w:val="006D0F17"/>
    <w:rsid w:val="006D44DA"/>
    <w:rsid w:val="006D7483"/>
    <w:rsid w:val="006F0982"/>
    <w:rsid w:val="006F679F"/>
    <w:rsid w:val="006F69D8"/>
    <w:rsid w:val="007014A9"/>
    <w:rsid w:val="00704490"/>
    <w:rsid w:val="00716E75"/>
    <w:rsid w:val="007211B5"/>
    <w:rsid w:val="007259A0"/>
    <w:rsid w:val="007265CB"/>
    <w:rsid w:val="00730B4D"/>
    <w:rsid w:val="00732C1A"/>
    <w:rsid w:val="00745851"/>
    <w:rsid w:val="00745C07"/>
    <w:rsid w:val="00757C88"/>
    <w:rsid w:val="00763CE1"/>
    <w:rsid w:val="00767B8E"/>
    <w:rsid w:val="007762E6"/>
    <w:rsid w:val="007829AA"/>
    <w:rsid w:val="007862D1"/>
    <w:rsid w:val="0078700F"/>
    <w:rsid w:val="007921D2"/>
    <w:rsid w:val="00793959"/>
    <w:rsid w:val="007A0C37"/>
    <w:rsid w:val="007A11B0"/>
    <w:rsid w:val="007A2357"/>
    <w:rsid w:val="007A68C2"/>
    <w:rsid w:val="007B26CE"/>
    <w:rsid w:val="007C1EAC"/>
    <w:rsid w:val="007C1FC7"/>
    <w:rsid w:val="007C4FF6"/>
    <w:rsid w:val="007C7153"/>
    <w:rsid w:val="007D13E0"/>
    <w:rsid w:val="007D6319"/>
    <w:rsid w:val="007E02FE"/>
    <w:rsid w:val="007F4CA8"/>
    <w:rsid w:val="00807A40"/>
    <w:rsid w:val="00810194"/>
    <w:rsid w:val="00810D1F"/>
    <w:rsid w:val="0082118F"/>
    <w:rsid w:val="008505C8"/>
    <w:rsid w:val="008543B0"/>
    <w:rsid w:val="0086508C"/>
    <w:rsid w:val="00867B1E"/>
    <w:rsid w:val="00874BBF"/>
    <w:rsid w:val="0088498D"/>
    <w:rsid w:val="008932AB"/>
    <w:rsid w:val="008940DB"/>
    <w:rsid w:val="008A30BC"/>
    <w:rsid w:val="008A41FA"/>
    <w:rsid w:val="008B0E6C"/>
    <w:rsid w:val="008D2BF3"/>
    <w:rsid w:val="008D3791"/>
    <w:rsid w:val="008F46D0"/>
    <w:rsid w:val="008F5BD7"/>
    <w:rsid w:val="00911794"/>
    <w:rsid w:val="00924023"/>
    <w:rsid w:val="00925B49"/>
    <w:rsid w:val="00944A2B"/>
    <w:rsid w:val="00967656"/>
    <w:rsid w:val="00971BF6"/>
    <w:rsid w:val="00982C6D"/>
    <w:rsid w:val="00983285"/>
    <w:rsid w:val="0098365F"/>
    <w:rsid w:val="00984E2B"/>
    <w:rsid w:val="00993BAD"/>
    <w:rsid w:val="00995B61"/>
    <w:rsid w:val="009A5F9E"/>
    <w:rsid w:val="009B2175"/>
    <w:rsid w:val="009C1387"/>
    <w:rsid w:val="009C1772"/>
    <w:rsid w:val="009D2AB9"/>
    <w:rsid w:val="009D77CA"/>
    <w:rsid w:val="009F6D3B"/>
    <w:rsid w:val="00A114A2"/>
    <w:rsid w:val="00A17666"/>
    <w:rsid w:val="00A244A5"/>
    <w:rsid w:val="00A26FF9"/>
    <w:rsid w:val="00A27AEC"/>
    <w:rsid w:val="00A316F8"/>
    <w:rsid w:val="00A41F29"/>
    <w:rsid w:val="00A54827"/>
    <w:rsid w:val="00A70E8C"/>
    <w:rsid w:val="00A805BC"/>
    <w:rsid w:val="00A81885"/>
    <w:rsid w:val="00A824D6"/>
    <w:rsid w:val="00A97AEE"/>
    <w:rsid w:val="00AA44F9"/>
    <w:rsid w:val="00AB0588"/>
    <w:rsid w:val="00AB2FC7"/>
    <w:rsid w:val="00AB643C"/>
    <w:rsid w:val="00AC1430"/>
    <w:rsid w:val="00AC276B"/>
    <w:rsid w:val="00AC2A01"/>
    <w:rsid w:val="00AC2F7B"/>
    <w:rsid w:val="00AC5150"/>
    <w:rsid w:val="00AD313D"/>
    <w:rsid w:val="00AF0EE8"/>
    <w:rsid w:val="00AF63E6"/>
    <w:rsid w:val="00B00F33"/>
    <w:rsid w:val="00B07F1F"/>
    <w:rsid w:val="00B10DAC"/>
    <w:rsid w:val="00B149B0"/>
    <w:rsid w:val="00B15223"/>
    <w:rsid w:val="00B211CD"/>
    <w:rsid w:val="00B3076B"/>
    <w:rsid w:val="00B30A78"/>
    <w:rsid w:val="00B31FEB"/>
    <w:rsid w:val="00B55243"/>
    <w:rsid w:val="00B56422"/>
    <w:rsid w:val="00B6777C"/>
    <w:rsid w:val="00B67E7B"/>
    <w:rsid w:val="00B70B21"/>
    <w:rsid w:val="00BA4913"/>
    <w:rsid w:val="00BB6714"/>
    <w:rsid w:val="00BD2267"/>
    <w:rsid w:val="00BE6725"/>
    <w:rsid w:val="00BF0A03"/>
    <w:rsid w:val="00BF6927"/>
    <w:rsid w:val="00C02783"/>
    <w:rsid w:val="00C066F8"/>
    <w:rsid w:val="00C2084B"/>
    <w:rsid w:val="00C24289"/>
    <w:rsid w:val="00C27D43"/>
    <w:rsid w:val="00C30FA0"/>
    <w:rsid w:val="00C33C50"/>
    <w:rsid w:val="00C3648A"/>
    <w:rsid w:val="00C502ED"/>
    <w:rsid w:val="00C64E8F"/>
    <w:rsid w:val="00C70047"/>
    <w:rsid w:val="00C70CC8"/>
    <w:rsid w:val="00C74809"/>
    <w:rsid w:val="00C81812"/>
    <w:rsid w:val="00CB203A"/>
    <w:rsid w:val="00CC0911"/>
    <w:rsid w:val="00CC17A7"/>
    <w:rsid w:val="00CC3592"/>
    <w:rsid w:val="00CE2794"/>
    <w:rsid w:val="00CF3411"/>
    <w:rsid w:val="00CF5E7F"/>
    <w:rsid w:val="00CF6DE4"/>
    <w:rsid w:val="00D03FC1"/>
    <w:rsid w:val="00D1358C"/>
    <w:rsid w:val="00D2306A"/>
    <w:rsid w:val="00D4205B"/>
    <w:rsid w:val="00D44263"/>
    <w:rsid w:val="00D50980"/>
    <w:rsid w:val="00D5684C"/>
    <w:rsid w:val="00D72852"/>
    <w:rsid w:val="00D75D7B"/>
    <w:rsid w:val="00D8604B"/>
    <w:rsid w:val="00D875A3"/>
    <w:rsid w:val="00D94677"/>
    <w:rsid w:val="00D94A4F"/>
    <w:rsid w:val="00D951FF"/>
    <w:rsid w:val="00DA1814"/>
    <w:rsid w:val="00DB29AC"/>
    <w:rsid w:val="00DB3F06"/>
    <w:rsid w:val="00DB7D2D"/>
    <w:rsid w:val="00DC44F1"/>
    <w:rsid w:val="00DD2D7B"/>
    <w:rsid w:val="00DE0CE8"/>
    <w:rsid w:val="00E05831"/>
    <w:rsid w:val="00E1474E"/>
    <w:rsid w:val="00E149F3"/>
    <w:rsid w:val="00E21E73"/>
    <w:rsid w:val="00E227C5"/>
    <w:rsid w:val="00E26757"/>
    <w:rsid w:val="00E3327F"/>
    <w:rsid w:val="00E34FF0"/>
    <w:rsid w:val="00E53D60"/>
    <w:rsid w:val="00E628F4"/>
    <w:rsid w:val="00E84AAF"/>
    <w:rsid w:val="00EB4902"/>
    <w:rsid w:val="00EC2AE5"/>
    <w:rsid w:val="00EC6CFC"/>
    <w:rsid w:val="00EE136C"/>
    <w:rsid w:val="00EE4947"/>
    <w:rsid w:val="00EF47EF"/>
    <w:rsid w:val="00EF5104"/>
    <w:rsid w:val="00F11E9B"/>
    <w:rsid w:val="00F232AA"/>
    <w:rsid w:val="00F233C2"/>
    <w:rsid w:val="00F24F48"/>
    <w:rsid w:val="00F420C9"/>
    <w:rsid w:val="00F60D9D"/>
    <w:rsid w:val="00F616F9"/>
    <w:rsid w:val="00F658FB"/>
    <w:rsid w:val="00F71729"/>
    <w:rsid w:val="00F86F87"/>
    <w:rsid w:val="00F87502"/>
    <w:rsid w:val="00FA049C"/>
    <w:rsid w:val="00FA0502"/>
    <w:rsid w:val="00FA0D27"/>
    <w:rsid w:val="00FA0DF2"/>
    <w:rsid w:val="00FA16B6"/>
    <w:rsid w:val="00FA2E03"/>
    <w:rsid w:val="00FA313A"/>
    <w:rsid w:val="00FB5255"/>
    <w:rsid w:val="00FC0E1B"/>
    <w:rsid w:val="00FD057C"/>
    <w:rsid w:val="00FD1266"/>
    <w:rsid w:val="00FD16BD"/>
    <w:rsid w:val="00FE0012"/>
    <w:rsid w:val="00FF0B40"/>
    <w:rsid w:val="00FF4C13"/>
    <w:rsid w:val="50A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0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C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8F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83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285"/>
    <w:rPr>
      <w:sz w:val="20"/>
      <w:szCs w:val="20"/>
    </w:rPr>
  </w:style>
  <w:style w:type="character" w:customStyle="1" w:styleId="CommentTextChar">
    <w:name w:val="Comment Text Char"/>
    <w:link w:val="CommentText"/>
    <w:rsid w:val="00983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285"/>
    <w:rPr>
      <w:b/>
      <w:bCs/>
    </w:rPr>
  </w:style>
  <w:style w:type="character" w:customStyle="1" w:styleId="CommentSubjectChar">
    <w:name w:val="Comment Subject Char"/>
    <w:link w:val="CommentSubject"/>
    <w:rsid w:val="0098328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A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5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C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8F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83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285"/>
    <w:rPr>
      <w:sz w:val="20"/>
      <w:szCs w:val="20"/>
    </w:rPr>
  </w:style>
  <w:style w:type="character" w:customStyle="1" w:styleId="CommentTextChar">
    <w:name w:val="Comment Text Char"/>
    <w:link w:val="CommentText"/>
    <w:rsid w:val="00983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285"/>
    <w:rPr>
      <w:b/>
      <w:bCs/>
    </w:rPr>
  </w:style>
  <w:style w:type="character" w:customStyle="1" w:styleId="CommentSubjectChar">
    <w:name w:val="Comment Subject Char"/>
    <w:link w:val="CommentSubject"/>
    <w:rsid w:val="0098328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A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984B11432534795F16BEA6FA1BF47" ma:contentTypeVersion="14" ma:contentTypeDescription="Create a new document." ma:contentTypeScope="" ma:versionID="ac878a6752a62b8bd920df10f6adbe5e">
  <xsd:schema xmlns:xsd="http://www.w3.org/2001/XMLSchema" xmlns:xs="http://www.w3.org/2001/XMLSchema" xmlns:p="http://schemas.microsoft.com/office/2006/metadata/properties" xmlns:ns1="http://schemas.microsoft.com/sharepoint/v3" xmlns:ns3="a2fdc8b3-efec-4b49-9db0-a0e674fe0659" xmlns:ns4="cb28257b-b5e0-4c2a-9691-37603fd8a506" targetNamespace="http://schemas.microsoft.com/office/2006/metadata/properties" ma:root="true" ma:fieldsID="31d5a350f0fc48b8e6266cc12474b91f" ns1:_="" ns3:_="" ns4:_="">
    <xsd:import namespace="http://schemas.microsoft.com/sharepoint/v3"/>
    <xsd:import namespace="a2fdc8b3-efec-4b49-9db0-a0e674fe0659"/>
    <xsd:import namespace="cb28257b-b5e0-4c2a-9691-37603fd8a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dc8b3-efec-4b49-9db0-a0e674fe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257b-b5e0-4c2a-9691-37603fd8a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B4BE-6FB6-4BF0-B89D-9CF5DDBAA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0F99A-B2C5-4648-841A-89EFCFC05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5E52FF-D03C-4719-8301-8E9067E3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fdc8b3-efec-4b49-9db0-a0e674fe0659"/>
    <ds:schemaRef ds:uri="cb28257b-b5e0-4c2a-9691-37603fd8a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197A7-C7FA-4015-9D48-42EE8936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Wyatt Partners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107831</dc:creator>
  <cp:lastModifiedBy>Joanne George</cp:lastModifiedBy>
  <cp:revision>2</cp:revision>
  <cp:lastPrinted>2020-01-23T18:01:00Z</cp:lastPrinted>
  <dcterms:created xsi:type="dcterms:W3CDTF">2020-03-10T11:09:00Z</dcterms:created>
  <dcterms:modified xsi:type="dcterms:W3CDTF">2020-03-10T11:09:00Z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0x010100794984B11432534795F16BEA6FA1BF47</vt:lpwstr>
  </property>
  <property fmtid="{D5CDD505-2E9C-101B-9397-08002B2CF9AE}" pid="4" name="Order">
    <vt:r8>233200</vt:r8>
  </property>
  <property fmtid="{D5CDD505-2E9C-101B-9397-08002B2CF9AE}" pid="5" name="ComplianceAssetId">
    <vt:lpwstr/>
  </property>
</Properties>
</file>